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C8240">
      <w:pPr>
        <w:ind w:firstLine="0" w:firstLineChars="0"/>
      </w:pPr>
    </w:p>
    <w:p w14:paraId="4FDFDFC2">
      <w:pPr>
        <w:ind w:firstLine="0" w:firstLineChars="0"/>
      </w:pPr>
    </w:p>
    <w:p w14:paraId="01419A2E">
      <w:pPr>
        <w:ind w:firstLine="0" w:firstLineChars="0"/>
        <w:jc w:val="center"/>
        <w:rPr>
          <w:rFonts w:ascii="宋体" w:hAnsi="宋体" w:eastAsia="宋体"/>
          <w:b/>
          <w:sz w:val="44"/>
          <w:szCs w:val="44"/>
        </w:rPr>
      </w:pPr>
      <w:r>
        <w:rPr>
          <w:rFonts w:hint="eastAsia" w:ascii="宋体" w:hAnsi="宋体" w:eastAsia="宋体"/>
          <w:b/>
          <w:sz w:val="44"/>
          <w:szCs w:val="44"/>
        </w:rPr>
        <w:t>债券借贷用户操作手册</w:t>
      </w:r>
    </w:p>
    <w:p w14:paraId="4ED4299A">
      <w:pPr>
        <w:ind w:firstLine="0" w:firstLineChars="0"/>
      </w:pPr>
    </w:p>
    <w:p w14:paraId="4308C27B">
      <w:pPr>
        <w:ind w:firstLine="0" w:firstLineChars="0"/>
      </w:pPr>
    </w:p>
    <w:p w14:paraId="3AD80D18">
      <w:pPr>
        <w:ind w:firstLine="0" w:firstLineChars="0"/>
      </w:pPr>
    </w:p>
    <w:p w14:paraId="5A3A615D">
      <w:pPr>
        <w:ind w:firstLine="0" w:firstLineChars="0"/>
      </w:pPr>
    </w:p>
    <w:p w14:paraId="1FF0B3A8">
      <w:pPr>
        <w:ind w:firstLine="0" w:firstLineChars="0"/>
      </w:pPr>
    </w:p>
    <w:p w14:paraId="22DA518C">
      <w:pPr>
        <w:ind w:firstLine="0" w:firstLineChars="0"/>
      </w:pPr>
    </w:p>
    <w:p w14:paraId="07AC19EE">
      <w:pPr>
        <w:ind w:firstLine="0" w:firstLineChars="0"/>
      </w:pPr>
    </w:p>
    <w:p w14:paraId="4E8A8B70">
      <w:pPr>
        <w:ind w:firstLine="0" w:firstLineChars="0"/>
      </w:pPr>
    </w:p>
    <w:p w14:paraId="74960CBC">
      <w:pPr>
        <w:ind w:firstLine="0" w:firstLineChars="0"/>
      </w:pPr>
    </w:p>
    <w:p w14:paraId="177DA7C4">
      <w:pPr>
        <w:ind w:firstLine="0" w:firstLineChars="0"/>
      </w:pPr>
    </w:p>
    <w:p w14:paraId="5D796E65">
      <w:pPr>
        <w:ind w:firstLine="0" w:firstLineChars="0"/>
      </w:pPr>
    </w:p>
    <w:p w14:paraId="55DB14BA">
      <w:pPr>
        <w:ind w:firstLine="0" w:firstLineChars="0"/>
      </w:pPr>
    </w:p>
    <w:p w14:paraId="35DE7076">
      <w:pPr>
        <w:ind w:firstLine="0" w:firstLineChars="0"/>
      </w:pPr>
    </w:p>
    <w:p w14:paraId="5B243DE2">
      <w:pPr>
        <w:topLinePunct/>
        <w:ind w:firstLine="0" w:firstLineChars="0"/>
      </w:pPr>
    </w:p>
    <w:p w14:paraId="3393BB20">
      <w:pPr>
        <w:topLinePunct/>
        <w:ind w:firstLine="0" w:firstLineChars="0"/>
        <w:jc w:val="center"/>
      </w:pPr>
      <w:r>
        <w:rPr>
          <w:rFonts w:hint="eastAsia"/>
        </w:rPr>
        <w:t>银行间市场清算所股份有限公司</w:t>
      </w:r>
    </w:p>
    <w:p w14:paraId="5CEE523A">
      <w:pPr>
        <w:topLinePunct/>
        <w:ind w:firstLine="0" w:firstLineChars="0"/>
        <w:jc w:val="center"/>
      </w:pPr>
      <w:r>
        <w:t>2026年</w:t>
      </w:r>
      <w:r>
        <w:rPr>
          <w:rFonts w:hint="eastAsia"/>
          <w:lang w:val="en-US" w:eastAsia="zh-CN"/>
        </w:rPr>
        <w:t>7</w:t>
      </w:r>
      <w:r>
        <w:t>月</w:t>
      </w:r>
    </w:p>
    <w:p w14:paraId="3049BFC3">
      <w:pPr>
        <w:topLinePunct/>
        <w:ind w:firstLine="0" w:firstLineChars="0"/>
        <w:jc w:val="center"/>
        <w:rPr>
          <w:b/>
          <w:bCs/>
        </w:rPr>
      </w:pPr>
      <w:r>
        <w:br w:type="page"/>
      </w:r>
      <w:r>
        <w:rPr>
          <w:rFonts w:hint="eastAsia"/>
          <w:b/>
          <w:bCs/>
        </w:rPr>
        <w:t>修订说明</w:t>
      </w:r>
    </w:p>
    <w:tbl>
      <w:tblPr>
        <w:tblStyle w:val="18"/>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1126"/>
        <w:gridCol w:w="5954"/>
      </w:tblGrid>
      <w:tr w14:paraId="5C7B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tcPr>
          <w:p w14:paraId="631D352E">
            <w:pPr>
              <w:topLinePunct/>
              <w:spacing w:line="240" w:lineRule="auto"/>
              <w:ind w:firstLine="0" w:firstLineChars="0"/>
              <w:jc w:val="center"/>
              <w:rPr>
                <w:rFonts w:hAnsi="仿宋"/>
                <w:sz w:val="24"/>
                <w:szCs w:val="30"/>
              </w:rPr>
            </w:pPr>
            <w:r>
              <w:rPr>
                <w:rFonts w:hint="eastAsia" w:hAnsi="仿宋"/>
                <w:sz w:val="24"/>
                <w:szCs w:val="30"/>
              </w:rPr>
              <w:t>日期</w:t>
            </w:r>
          </w:p>
        </w:tc>
        <w:tc>
          <w:tcPr>
            <w:tcW w:w="1126" w:type="dxa"/>
          </w:tcPr>
          <w:p w14:paraId="0AC35CDE">
            <w:pPr>
              <w:topLinePunct/>
              <w:spacing w:line="240" w:lineRule="auto"/>
              <w:ind w:firstLine="0" w:firstLineChars="0"/>
              <w:jc w:val="center"/>
              <w:rPr>
                <w:rFonts w:hAnsi="仿宋"/>
                <w:sz w:val="24"/>
                <w:szCs w:val="30"/>
              </w:rPr>
            </w:pPr>
            <w:r>
              <w:rPr>
                <w:rFonts w:hint="eastAsia" w:hAnsi="仿宋"/>
                <w:sz w:val="24"/>
                <w:szCs w:val="30"/>
              </w:rPr>
              <w:t>版本号</w:t>
            </w:r>
          </w:p>
        </w:tc>
        <w:tc>
          <w:tcPr>
            <w:tcW w:w="5954" w:type="dxa"/>
          </w:tcPr>
          <w:p w14:paraId="3242117F">
            <w:pPr>
              <w:topLinePunct/>
              <w:spacing w:line="240" w:lineRule="auto"/>
              <w:ind w:firstLine="0" w:firstLineChars="0"/>
              <w:jc w:val="center"/>
              <w:rPr>
                <w:rFonts w:hAnsi="仿宋"/>
                <w:sz w:val="24"/>
                <w:szCs w:val="30"/>
              </w:rPr>
            </w:pPr>
            <w:r>
              <w:rPr>
                <w:rFonts w:hint="eastAsia" w:hAnsi="仿宋"/>
                <w:sz w:val="24"/>
                <w:szCs w:val="30"/>
              </w:rPr>
              <w:t>修订内容</w:t>
            </w:r>
          </w:p>
        </w:tc>
      </w:tr>
      <w:tr w14:paraId="2075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vAlign w:val="center"/>
          </w:tcPr>
          <w:p w14:paraId="43EEF2C0">
            <w:pPr>
              <w:topLinePunct/>
              <w:spacing w:line="240" w:lineRule="auto"/>
              <w:ind w:firstLine="0" w:firstLineChars="0"/>
              <w:rPr>
                <w:rFonts w:hint="default" w:hAnsi="仿宋" w:eastAsia="仿宋"/>
                <w:sz w:val="24"/>
                <w:szCs w:val="30"/>
                <w:lang w:val="en-US" w:eastAsia="zh-CN"/>
              </w:rPr>
            </w:pPr>
            <w:r>
              <w:rPr>
                <w:rFonts w:hint="eastAsia" w:hAnsi="仿宋"/>
                <w:sz w:val="24"/>
                <w:szCs w:val="30"/>
              </w:rPr>
              <w:t>2</w:t>
            </w:r>
            <w:r>
              <w:rPr>
                <w:rFonts w:hAnsi="仿宋"/>
                <w:sz w:val="24"/>
                <w:szCs w:val="30"/>
              </w:rPr>
              <w:t>026</w:t>
            </w:r>
            <w:r>
              <w:rPr>
                <w:rFonts w:hint="eastAsia" w:hAnsi="仿宋"/>
                <w:sz w:val="24"/>
                <w:szCs w:val="30"/>
              </w:rPr>
              <w:t>-</w:t>
            </w:r>
            <w:r>
              <w:rPr>
                <w:rFonts w:hint="eastAsia" w:hAnsi="仿宋"/>
                <w:sz w:val="24"/>
                <w:szCs w:val="30"/>
                <w:lang w:val="en-US" w:eastAsia="zh-CN"/>
              </w:rPr>
              <w:t>7</w:t>
            </w:r>
          </w:p>
        </w:tc>
        <w:tc>
          <w:tcPr>
            <w:tcW w:w="1126" w:type="dxa"/>
          </w:tcPr>
          <w:p w14:paraId="5CD05035">
            <w:pPr>
              <w:topLinePunct/>
              <w:spacing w:line="240" w:lineRule="auto"/>
              <w:ind w:firstLine="0" w:firstLineChars="0"/>
              <w:jc w:val="center"/>
              <w:rPr>
                <w:rFonts w:hAnsi="仿宋"/>
                <w:sz w:val="24"/>
                <w:szCs w:val="30"/>
              </w:rPr>
            </w:pPr>
            <w:r>
              <w:rPr>
                <w:rFonts w:hint="eastAsia" w:hAnsi="仿宋"/>
                <w:sz w:val="24"/>
                <w:szCs w:val="30"/>
              </w:rPr>
              <w:t>V</w:t>
            </w:r>
            <w:r>
              <w:rPr>
                <w:rFonts w:hAnsi="仿宋"/>
                <w:sz w:val="24"/>
                <w:szCs w:val="30"/>
              </w:rPr>
              <w:t>1.0</w:t>
            </w:r>
          </w:p>
        </w:tc>
        <w:tc>
          <w:tcPr>
            <w:tcW w:w="5954" w:type="dxa"/>
          </w:tcPr>
          <w:p w14:paraId="054102E1">
            <w:pPr>
              <w:topLinePunct/>
              <w:spacing w:line="240" w:lineRule="auto"/>
              <w:ind w:firstLine="0" w:firstLineChars="0"/>
              <w:rPr>
                <w:rFonts w:hAnsi="仿宋"/>
                <w:sz w:val="24"/>
                <w:szCs w:val="30"/>
              </w:rPr>
            </w:pPr>
            <w:r>
              <w:rPr>
                <w:rFonts w:hint="eastAsia" w:hAnsi="仿宋"/>
                <w:sz w:val="24"/>
                <w:szCs w:val="30"/>
              </w:rPr>
              <w:t>起草用户操作手册。</w:t>
            </w:r>
          </w:p>
        </w:tc>
      </w:tr>
    </w:tbl>
    <w:p w14:paraId="0D157EFF">
      <w:pPr>
        <w:ind w:firstLine="0" w:firstLineChars="0"/>
      </w:pPr>
    </w:p>
    <w:p w14:paraId="14CC574D">
      <w:pPr>
        <w:ind w:firstLine="0" w:firstLineChars="0"/>
      </w:pPr>
    </w:p>
    <w:p w14:paraId="580DF59F">
      <w:pPr>
        <w:ind w:firstLine="0" w:firstLineChars="0"/>
      </w:pPr>
    </w:p>
    <w:p w14:paraId="1EDA57D9">
      <w:pPr>
        <w:ind w:firstLine="640"/>
      </w:pPr>
      <w:r>
        <w:br w:type="page"/>
      </w:r>
    </w:p>
    <w:sdt>
      <w:sdtPr>
        <w:rPr>
          <w:rFonts w:hint="eastAsia" w:ascii="仿宋" w:hAnsi="仿宋" w:eastAsia="仿宋" w:cs="仿宋"/>
          <w:b/>
          <w:bCs w:val="0"/>
          <w:i w:val="0"/>
          <w:iCs w:val="0"/>
          <w:sz w:val="28"/>
          <w:szCs w:val="28"/>
        </w:rPr>
        <w:id w:val="26136495"/>
        <w15:color w:val="DBDBDB"/>
        <w:docPartObj>
          <w:docPartGallery w:val="Table of Contents"/>
          <w:docPartUnique/>
        </w:docPartObj>
      </w:sdtPr>
      <w:sdtEndPr>
        <w:rPr>
          <w:rFonts w:hint="eastAsia" w:ascii="仿宋" w:hAnsi="仿宋" w:eastAsia="仿宋" w:cs="仿宋"/>
          <w:b/>
          <w:bCs/>
          <w:i w:val="0"/>
          <w:iCs w:val="0"/>
          <w:sz w:val="24"/>
          <w:szCs w:val="24"/>
        </w:rPr>
      </w:sdtEndPr>
      <w:sdtContent>
        <w:p w14:paraId="0F1DD7CE">
          <w:pPr>
            <w:spacing w:line="240" w:lineRule="auto"/>
            <w:ind w:firstLine="0" w:firstLineChars="0"/>
            <w:jc w:val="center"/>
            <w:rPr>
              <w:rFonts w:hint="eastAsia" w:ascii="仿宋" w:hAnsi="仿宋" w:eastAsia="仿宋" w:cs="仿宋"/>
              <w:b/>
              <w:bCs w:val="0"/>
              <w:i w:val="0"/>
              <w:iCs w:val="0"/>
              <w:sz w:val="28"/>
              <w:szCs w:val="28"/>
            </w:rPr>
          </w:pPr>
          <w:r>
            <w:rPr>
              <w:rFonts w:hint="eastAsia" w:ascii="仿宋" w:hAnsi="仿宋" w:eastAsia="仿宋" w:cs="仿宋"/>
              <w:b/>
              <w:bCs w:val="0"/>
              <w:i w:val="0"/>
              <w:iCs w:val="0"/>
              <w:sz w:val="28"/>
              <w:szCs w:val="28"/>
            </w:rPr>
            <w:t>目录</w:t>
          </w:r>
        </w:p>
        <w:p w14:paraId="3528359A">
          <w:pPr>
            <w:pStyle w:val="12"/>
            <w:tabs>
              <w:tab w:val="right" w:leader="dot" w:pos="8306"/>
              <w:tab w:val="clear" w:pos="829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TOC \o "1-3" \h \u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_Toc1718870160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第一章 前言</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_Toc1718870160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- 4 -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722FCBA1">
          <w:pPr>
            <w:pStyle w:val="16"/>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_Toc1599645029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1.1背景</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_Toc1599645029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- 4 -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6CB3C49D">
          <w:pPr>
            <w:pStyle w:val="16"/>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_Toc744005599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1.2各流程节点及操作要求</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_Toc744005599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- 4 -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4C5D30FF">
          <w:pPr>
            <w:pStyle w:val="16"/>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_Toc1424359153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1.3跨机构借贷相关业务流程概述</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_Toc1424359153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- 6 -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53883AEA">
          <w:pPr>
            <w:pStyle w:val="7"/>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_Toc839243388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1.3.1上海清算所作为质押券托管机构</w:t>
          </w:r>
          <w:bookmarkStart w:id="113" w:name="_GoBack"/>
          <w:bookmarkEnd w:id="113"/>
          <w:r>
            <w:rPr>
              <w:rFonts w:hint="eastAsia" w:ascii="仿宋" w:hAnsi="仿宋" w:eastAsia="仿宋" w:cs="仿宋"/>
              <w:b w:val="0"/>
              <w:bCs/>
              <w:i w:val="0"/>
              <w:iCs w:val="0"/>
              <w:sz w:val="24"/>
              <w:szCs w:val="24"/>
            </w:rPr>
            <w:t>的流程概述</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_Toc839243388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- 6 -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37F7E310">
          <w:pPr>
            <w:pStyle w:val="7"/>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_Toc2130985840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1.3.2上海清算所作为标的券托管机构的流程概述</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_Toc2130985840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- 10 -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76C8D6A4">
          <w:pPr>
            <w:pStyle w:val="7"/>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_Toc1098288090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1.3.3跨机构借贷存续期业务办理方式</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_Toc1098288090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- 13 -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52638F13">
          <w:pPr>
            <w:pStyle w:val="16"/>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_Toc847637555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1.4上海清算所客服联系信息</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_Toc847637555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- 13 -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254B3B4D">
          <w:pPr>
            <w:pStyle w:val="12"/>
            <w:tabs>
              <w:tab w:val="right" w:leader="dot" w:pos="8306"/>
              <w:tab w:val="clear" w:pos="829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_Toc1894297233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第二章 业务操作</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_Toc1894297233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- 14 -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5CB7580B">
          <w:pPr>
            <w:pStyle w:val="16"/>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_Toc1132266735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2.1借贷</w:t>
          </w:r>
          <w:r>
            <w:rPr>
              <w:rFonts w:hint="eastAsia" w:ascii="仿宋" w:hAnsi="仿宋" w:eastAsia="仿宋" w:cs="仿宋"/>
              <w:b w:val="0"/>
              <w:bCs/>
              <w:i w:val="0"/>
              <w:iCs w:val="0"/>
              <w:sz w:val="24"/>
              <w:szCs w:val="24"/>
              <w:lang w:val="en-US"/>
            </w:rPr>
            <w:t>成交数据指令确认操作步骤</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_Toc1132266735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- 14 -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026C2BA6">
          <w:pPr>
            <w:pStyle w:val="16"/>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_Toc380746183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2.2借贷质押券置换操作步骤</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_Toc380746183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- 16 -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4B89C983">
          <w:pPr>
            <w:pStyle w:val="7"/>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_Toc210497183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2.2.1债券融入方提交及复核质押券置换操作</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_Toc210497183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- 16 -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6E6B7E19">
          <w:pPr>
            <w:pStyle w:val="7"/>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_Toc1126846901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2.2.2债券融出方对质押券置换操作进行确认</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_Toc1126846901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- 17 -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58357886">
          <w:pPr>
            <w:pStyle w:val="16"/>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_Toc770317487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2.3借贷到期现金交割操作步骤</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_Toc770317487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- 18 -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34F618AF">
          <w:pPr>
            <w:pStyle w:val="7"/>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_Toc1974444081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2.3.1现金交割指令的提交及复核操作</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_Toc1974444081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- 18 -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10D623F9">
          <w:pPr>
            <w:pStyle w:val="7"/>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_Toc1704747760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2.3.2现金交割指令的确认操作</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_Toc1704747760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- 20 -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2085E148">
          <w:pPr>
            <w:pStyle w:val="16"/>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_Toc937548649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2.4借贷到期提前终止操作要求</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_Toc937548649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- 21 -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13A63AF9">
          <w:pPr>
            <w:pStyle w:val="16"/>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_Toc1681175832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2.5借贷到期逾期返售操作步骤</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_Toc1681175832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- 22 -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22486A6B">
          <w:pPr>
            <w:pStyle w:val="7"/>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_Toc1602984306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2.5.1逾期返售指令的提交及复核操作</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_Toc1602984306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- 23 -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5A4F037A">
          <w:pPr>
            <w:pStyle w:val="7"/>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_Toc2024835184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2.5.2逾期返售指令的确认操作</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_Toc2024835184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- 25 -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2C7378EA">
          <w:pPr>
            <w:pStyle w:val="12"/>
            <w:tabs>
              <w:tab w:val="right" w:leader="dot" w:pos="8306"/>
              <w:tab w:val="clear" w:pos="829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_Toc1267040925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第三章 业务应急</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_Toc1267040925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- 27 -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6263E46C">
          <w:pPr>
            <w:pStyle w:val="16"/>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_Toc357880753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3.1借贷</w:t>
          </w:r>
          <w:r>
            <w:rPr>
              <w:rFonts w:hint="eastAsia" w:ascii="仿宋" w:hAnsi="仿宋" w:eastAsia="仿宋" w:cs="仿宋"/>
              <w:b w:val="0"/>
              <w:bCs/>
              <w:i w:val="0"/>
              <w:iCs w:val="0"/>
              <w:sz w:val="24"/>
              <w:szCs w:val="24"/>
              <w:lang w:val="en-US"/>
            </w:rPr>
            <w:t>成交数据指令确认操作应急</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_Toc357880753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- 27 -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23B4A79A">
          <w:pPr>
            <w:pStyle w:val="16"/>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_Toc1793178619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3.2</w:t>
          </w:r>
          <w:r>
            <w:rPr>
              <w:rFonts w:hint="eastAsia" w:ascii="仿宋" w:hAnsi="仿宋" w:eastAsia="仿宋" w:cs="仿宋"/>
              <w:b w:val="0"/>
              <w:bCs/>
              <w:i w:val="0"/>
              <w:iCs w:val="0"/>
              <w:sz w:val="24"/>
              <w:szCs w:val="24"/>
              <w:lang w:val="en-US"/>
            </w:rPr>
            <w:t>借贷存续期质押券置换操作应急</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_Toc1793178619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- 28 -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676E8C87">
          <w:pPr>
            <w:pStyle w:val="16"/>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_Toc2055083159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3.</w:t>
          </w:r>
          <w:r>
            <w:rPr>
              <w:rFonts w:hint="eastAsia" w:ascii="仿宋" w:hAnsi="仿宋" w:eastAsia="仿宋" w:cs="仿宋"/>
              <w:b w:val="0"/>
              <w:bCs/>
              <w:i w:val="0"/>
              <w:iCs w:val="0"/>
              <w:sz w:val="24"/>
              <w:szCs w:val="24"/>
              <w:lang w:val="en-US"/>
            </w:rPr>
            <w:t>3借贷到期现金交割操作应急</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_Toc2055083159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- 29 -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0689E790">
          <w:pPr>
            <w:pStyle w:val="16"/>
            <w:tabs>
              <w:tab w:val="right" w:leader="dot" w:pos="830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_Toc1778479117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3.4</w:t>
          </w:r>
          <w:r>
            <w:rPr>
              <w:rFonts w:hint="eastAsia" w:ascii="仿宋" w:hAnsi="仿宋" w:eastAsia="仿宋" w:cs="仿宋"/>
              <w:b w:val="0"/>
              <w:bCs/>
              <w:i w:val="0"/>
              <w:iCs w:val="0"/>
              <w:sz w:val="24"/>
              <w:szCs w:val="24"/>
              <w:lang w:val="en-US"/>
            </w:rPr>
            <w:t>到期逾期返售操作应急</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_Toc1778479117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- 29 -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169BBE77">
          <w:pPr>
            <w:pStyle w:val="12"/>
            <w:tabs>
              <w:tab w:val="right" w:leader="dot" w:pos="8306"/>
              <w:tab w:val="clear" w:pos="8296"/>
            </w:tabs>
            <w:spacing w:line="240" w:lineRule="auto"/>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HYPERLINK \l _Toc930551401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第四章 附件表单</w:t>
          </w:r>
          <w:r>
            <w:rPr>
              <w:rFonts w:hint="eastAsia" w:ascii="仿宋" w:hAnsi="仿宋" w:eastAsia="仿宋" w:cs="仿宋"/>
              <w:b w:val="0"/>
              <w:bCs/>
              <w:i w:val="0"/>
              <w:iCs w:val="0"/>
              <w:sz w:val="24"/>
              <w:szCs w:val="24"/>
            </w:rPr>
            <w:tab/>
          </w:r>
          <w:r>
            <w:rPr>
              <w:rFonts w:hint="eastAsia" w:ascii="仿宋" w:hAnsi="仿宋" w:eastAsia="仿宋" w:cs="仿宋"/>
              <w:b w:val="0"/>
              <w:bCs/>
              <w:i w:val="0"/>
              <w:iCs w:val="0"/>
              <w:sz w:val="24"/>
              <w:szCs w:val="24"/>
            </w:rPr>
            <w:fldChar w:fldCharType="begin"/>
          </w:r>
          <w:r>
            <w:rPr>
              <w:rFonts w:hint="eastAsia" w:ascii="仿宋" w:hAnsi="仿宋" w:eastAsia="仿宋" w:cs="仿宋"/>
              <w:b w:val="0"/>
              <w:bCs/>
              <w:i w:val="0"/>
              <w:iCs w:val="0"/>
              <w:sz w:val="24"/>
              <w:szCs w:val="24"/>
            </w:rPr>
            <w:instrText xml:space="preserve"> PAGEREF _Toc930551401 \h </w:instrText>
          </w:r>
          <w:r>
            <w:rPr>
              <w:rFonts w:hint="eastAsia" w:ascii="仿宋" w:hAnsi="仿宋" w:eastAsia="仿宋" w:cs="仿宋"/>
              <w:b w:val="0"/>
              <w:bCs/>
              <w:i w:val="0"/>
              <w:iCs w:val="0"/>
              <w:sz w:val="24"/>
              <w:szCs w:val="24"/>
            </w:rPr>
            <w:fldChar w:fldCharType="separate"/>
          </w:r>
          <w:r>
            <w:rPr>
              <w:rFonts w:hint="eastAsia" w:ascii="仿宋" w:hAnsi="仿宋" w:eastAsia="仿宋" w:cs="仿宋"/>
              <w:b w:val="0"/>
              <w:bCs/>
              <w:i w:val="0"/>
              <w:iCs w:val="0"/>
              <w:sz w:val="24"/>
              <w:szCs w:val="24"/>
            </w:rPr>
            <w:t>- 30 -</w:t>
          </w:r>
          <w:r>
            <w:rPr>
              <w:rFonts w:hint="eastAsia" w:ascii="仿宋" w:hAnsi="仿宋" w:eastAsia="仿宋" w:cs="仿宋"/>
              <w:b w:val="0"/>
              <w:bCs/>
              <w:i w:val="0"/>
              <w:iCs w:val="0"/>
              <w:sz w:val="24"/>
              <w:szCs w:val="24"/>
            </w:rPr>
            <w:fldChar w:fldCharType="end"/>
          </w:r>
          <w:r>
            <w:rPr>
              <w:rFonts w:hint="eastAsia" w:ascii="仿宋" w:hAnsi="仿宋" w:eastAsia="仿宋" w:cs="仿宋"/>
              <w:b w:val="0"/>
              <w:bCs/>
              <w:i w:val="0"/>
              <w:iCs w:val="0"/>
              <w:sz w:val="24"/>
              <w:szCs w:val="24"/>
            </w:rPr>
            <w:fldChar w:fldCharType="end"/>
          </w:r>
        </w:p>
        <w:p w14:paraId="6BED0586">
          <w:pPr>
            <w:pStyle w:val="16"/>
            <w:tabs>
              <w:tab w:val="right" w:leader="dot" w:pos="8306"/>
            </w:tabs>
            <w:spacing w:line="240" w:lineRule="auto"/>
            <w:rPr>
              <w:rFonts w:hint="eastAsia" w:ascii="仿宋" w:hAnsi="仿宋" w:eastAsia="仿宋" w:cs="仿宋"/>
              <w:b w:val="0"/>
              <w:bCs/>
              <w:i w:val="0"/>
              <w:iCs w:val="0"/>
              <w:sz w:val="24"/>
              <w:szCs w:val="24"/>
            </w:rPr>
          </w:pPr>
        </w:p>
        <w:p w14:paraId="0735236C">
          <w:pPr>
            <w:spacing w:line="240" w:lineRule="auto"/>
            <w:ind w:firstLine="0" w:firstLineChars="0"/>
          </w:pPr>
          <w:r>
            <w:rPr>
              <w:rFonts w:hint="eastAsia" w:ascii="仿宋" w:hAnsi="仿宋" w:eastAsia="仿宋" w:cs="仿宋"/>
              <w:b w:val="0"/>
              <w:bCs/>
              <w:i w:val="0"/>
              <w:iCs w:val="0"/>
              <w:sz w:val="24"/>
              <w:szCs w:val="24"/>
            </w:rPr>
            <w:fldChar w:fldCharType="end"/>
          </w:r>
        </w:p>
      </w:sdtContent>
    </w:sdt>
    <w:p w14:paraId="4638F1F7">
      <w:pPr>
        <w:ind w:firstLine="0" w:firstLineChars="0"/>
      </w:pPr>
    </w:p>
    <w:p w14:paraId="590756AE">
      <w:pPr>
        <w:pStyle w:val="31"/>
        <w:keepNext w:val="0"/>
        <w:keepLines w:val="0"/>
        <w:widowControl/>
        <w:topLinePunct/>
        <w:spacing w:before="0"/>
      </w:pPr>
      <w:r>
        <w:br w:type="page"/>
      </w:r>
      <w:bookmarkStart w:id="0" w:name="_Toc222618073"/>
      <w:bookmarkStart w:id="1" w:name="_Toc129621317"/>
      <w:bookmarkStart w:id="2" w:name="_Toc609218416"/>
      <w:bookmarkStart w:id="3" w:name="_Toc1718870160"/>
      <w:bookmarkStart w:id="4" w:name="_Toc185516968"/>
      <w:r>
        <w:rPr>
          <w:rFonts w:hint="eastAsia"/>
        </w:rPr>
        <w:t>第一章</w:t>
      </w:r>
      <w:r>
        <w:t xml:space="preserve"> </w:t>
      </w:r>
      <w:r>
        <w:rPr>
          <w:rFonts w:hint="eastAsia"/>
        </w:rPr>
        <w:t>前言</w:t>
      </w:r>
      <w:bookmarkEnd w:id="0"/>
      <w:bookmarkEnd w:id="1"/>
      <w:bookmarkEnd w:id="2"/>
      <w:bookmarkEnd w:id="3"/>
      <w:bookmarkEnd w:id="4"/>
    </w:p>
    <w:p w14:paraId="0E0D6757">
      <w:pPr>
        <w:pStyle w:val="32"/>
        <w:keepNext w:val="0"/>
        <w:keepLines w:val="0"/>
        <w:widowControl/>
        <w:topLinePunct/>
        <w:ind w:firstLine="640"/>
        <w:rPr>
          <w:b w:val="0"/>
          <w:bCs w:val="0"/>
        </w:rPr>
      </w:pPr>
      <w:bookmarkStart w:id="5" w:name="_Toc222618074"/>
      <w:bookmarkStart w:id="6" w:name="_Toc1599645029"/>
      <w:bookmarkStart w:id="7" w:name="_Toc129621318"/>
      <w:bookmarkStart w:id="8" w:name="_Toc686092979"/>
      <w:bookmarkStart w:id="9" w:name="_Toc185516969"/>
      <w:r>
        <w:rPr>
          <w:b w:val="0"/>
          <w:bCs w:val="0"/>
        </w:rPr>
        <w:t>1.1</w:t>
      </w:r>
      <w:r>
        <w:rPr>
          <w:rFonts w:hint="eastAsia"/>
          <w:b w:val="0"/>
          <w:bCs w:val="0"/>
        </w:rPr>
        <w:t>背景</w:t>
      </w:r>
      <w:bookmarkEnd w:id="5"/>
      <w:bookmarkEnd w:id="6"/>
      <w:bookmarkEnd w:id="7"/>
      <w:bookmarkEnd w:id="8"/>
      <w:bookmarkEnd w:id="9"/>
    </w:p>
    <w:p w14:paraId="4DD5A7A4">
      <w:pPr>
        <w:topLinePunct/>
        <w:ind w:firstLine="640"/>
        <w:jc w:val="both"/>
      </w:pPr>
      <w:r>
        <w:rPr>
          <w:rFonts w:hint="eastAsia"/>
        </w:rPr>
        <w:t>本文档主要为借贷双方在上海清算所办理债券借贷及跨托管机构债券借贷（以下简称跨机构借贷）相关业务提供操作指导。其中，跨机构借贷业务相关流程安排详见《银行间债券市场跨托管机构债券借贷业务细则》（</w:t>
      </w:r>
      <w:r>
        <w:rPr>
          <w:rFonts w:hint="eastAsia"/>
          <w:highlight w:val="none"/>
        </w:rPr>
        <w:t>中债字〔2026〕</w:t>
      </w:r>
      <w:r>
        <w:rPr>
          <w:rFonts w:hint="eastAsia"/>
          <w:highlight w:val="none"/>
          <w:lang w:val="en-US" w:eastAsia="zh-CN"/>
        </w:rPr>
        <w:t>171</w:t>
      </w:r>
      <w:r>
        <w:rPr>
          <w:rFonts w:hint="eastAsia"/>
          <w:highlight w:val="none"/>
        </w:rPr>
        <w:t>号</w:t>
      </w:r>
      <w:r>
        <w:rPr>
          <w:rFonts w:hint="eastAsia"/>
          <w:highlight w:val="none"/>
          <w:lang w:eastAsia="zh-CN"/>
        </w:rPr>
        <w:t>文印发</w:t>
      </w:r>
      <w:r>
        <w:rPr>
          <w:rFonts w:hint="eastAsia"/>
        </w:rPr>
        <w:t>）</w:t>
      </w:r>
      <w:r>
        <w:rPr>
          <w:rStyle w:val="22"/>
          <w:rFonts w:hint="eastAsia"/>
        </w:rPr>
        <w:footnoteReference w:id="0"/>
      </w:r>
      <w:r>
        <w:rPr>
          <w:rFonts w:hint="eastAsia"/>
        </w:rPr>
        <w:t>。</w:t>
      </w:r>
    </w:p>
    <w:p w14:paraId="0B79B5A1">
      <w:pPr>
        <w:pStyle w:val="32"/>
        <w:keepNext w:val="0"/>
        <w:keepLines w:val="0"/>
        <w:widowControl/>
        <w:topLinePunct/>
        <w:ind w:firstLine="640"/>
        <w:rPr>
          <w:b w:val="0"/>
          <w:bCs w:val="0"/>
        </w:rPr>
      </w:pPr>
      <w:bookmarkStart w:id="10" w:name="_Toc129621319"/>
      <w:bookmarkStart w:id="11" w:name="_Toc746858099"/>
      <w:bookmarkStart w:id="12" w:name="_Toc222618075"/>
      <w:bookmarkStart w:id="13" w:name="_Toc185516970"/>
      <w:bookmarkStart w:id="14" w:name="_Toc744005599"/>
      <w:r>
        <w:rPr>
          <w:b w:val="0"/>
          <w:bCs w:val="0"/>
        </w:rPr>
        <w:t>1.2</w:t>
      </w:r>
      <w:r>
        <w:rPr>
          <w:rFonts w:hint="eastAsia"/>
          <w:b w:val="0"/>
          <w:bCs w:val="0"/>
        </w:rPr>
        <w:t>各流程节点及操作要求</w:t>
      </w:r>
      <w:bookmarkEnd w:id="10"/>
      <w:bookmarkEnd w:id="11"/>
      <w:bookmarkEnd w:id="12"/>
      <w:bookmarkEnd w:id="13"/>
      <w:bookmarkEnd w:id="14"/>
    </w:p>
    <w:tbl>
      <w:tblPr>
        <w:tblStyle w:val="18"/>
        <w:tblW w:w="10219" w:type="dxa"/>
        <w:tblInd w:w="-7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8"/>
        <w:gridCol w:w="1629"/>
        <w:gridCol w:w="7332"/>
      </w:tblGrid>
      <w:tr w14:paraId="7890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8" w:type="dxa"/>
            <w:vAlign w:val="center"/>
          </w:tcPr>
          <w:p w14:paraId="6028FE1B">
            <w:pPr>
              <w:topLinePunct/>
              <w:spacing w:line="240" w:lineRule="auto"/>
              <w:ind w:firstLine="0" w:firstLineChars="0"/>
              <w:jc w:val="center"/>
              <w:rPr>
                <w:rFonts w:hAnsi="等线"/>
                <w:b/>
                <w:bCs/>
                <w:sz w:val="24"/>
                <w:szCs w:val="24"/>
              </w:rPr>
            </w:pPr>
            <w:r>
              <w:rPr>
                <w:rFonts w:hAnsi="等线"/>
                <w:b/>
                <w:bCs/>
                <w:sz w:val="24"/>
                <w:szCs w:val="24"/>
              </w:rPr>
              <w:t>发起方</w:t>
            </w:r>
          </w:p>
        </w:tc>
        <w:tc>
          <w:tcPr>
            <w:tcW w:w="1629" w:type="dxa"/>
            <w:vAlign w:val="center"/>
          </w:tcPr>
          <w:p w14:paraId="002A6C64">
            <w:pPr>
              <w:topLinePunct/>
              <w:spacing w:line="240" w:lineRule="auto"/>
              <w:ind w:firstLine="0" w:firstLineChars="0"/>
              <w:jc w:val="center"/>
              <w:rPr>
                <w:rFonts w:hAnsi="等线"/>
                <w:b/>
                <w:bCs/>
                <w:sz w:val="24"/>
                <w:szCs w:val="24"/>
              </w:rPr>
            </w:pPr>
            <w:r>
              <w:rPr>
                <w:rFonts w:hint="eastAsia" w:hAnsi="等线"/>
                <w:b/>
                <w:bCs/>
                <w:sz w:val="24"/>
                <w:szCs w:val="24"/>
              </w:rPr>
              <w:t>流程节点</w:t>
            </w:r>
          </w:p>
        </w:tc>
        <w:tc>
          <w:tcPr>
            <w:tcW w:w="7332" w:type="dxa"/>
            <w:vAlign w:val="center"/>
          </w:tcPr>
          <w:p w14:paraId="76D8B871">
            <w:pPr>
              <w:topLinePunct/>
              <w:spacing w:line="240" w:lineRule="auto"/>
              <w:ind w:firstLine="0" w:firstLineChars="0"/>
              <w:jc w:val="center"/>
              <w:rPr>
                <w:rFonts w:hAnsi="等线"/>
                <w:b/>
                <w:bCs/>
                <w:sz w:val="24"/>
                <w:szCs w:val="24"/>
              </w:rPr>
            </w:pPr>
            <w:r>
              <w:rPr>
                <w:rFonts w:hint="eastAsia" w:hAnsi="等线"/>
                <w:b/>
                <w:bCs/>
                <w:sz w:val="24"/>
                <w:szCs w:val="24"/>
              </w:rPr>
              <w:t>上海清算所相关要求</w:t>
            </w:r>
          </w:p>
        </w:tc>
      </w:tr>
      <w:tr w14:paraId="1402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5" w:hRule="atLeast"/>
        </w:trPr>
        <w:tc>
          <w:tcPr>
            <w:tcW w:w="1258" w:type="dxa"/>
            <w:vAlign w:val="center"/>
          </w:tcPr>
          <w:p w14:paraId="743A72A2">
            <w:pPr>
              <w:topLinePunct/>
              <w:spacing w:line="240" w:lineRule="auto"/>
              <w:ind w:firstLine="0" w:firstLineChars="0"/>
              <w:jc w:val="center"/>
              <w:rPr>
                <w:rFonts w:hAnsi="等线"/>
                <w:b/>
                <w:sz w:val="24"/>
                <w:szCs w:val="24"/>
                <w:u w:val="single"/>
              </w:rPr>
            </w:pPr>
            <w:r>
              <w:rPr>
                <w:rFonts w:hint="eastAsia" w:hAnsi="等线"/>
                <w:b/>
                <w:sz w:val="24"/>
                <w:szCs w:val="24"/>
                <w:u w:val="single"/>
              </w:rPr>
              <w:t>借贷双方</w:t>
            </w:r>
          </w:p>
        </w:tc>
        <w:tc>
          <w:tcPr>
            <w:tcW w:w="1629" w:type="dxa"/>
            <w:vAlign w:val="center"/>
          </w:tcPr>
          <w:p w14:paraId="73213097">
            <w:pPr>
              <w:topLinePunct/>
              <w:spacing w:line="240" w:lineRule="auto"/>
              <w:ind w:firstLine="0" w:firstLineChars="0"/>
              <w:jc w:val="both"/>
              <w:rPr>
                <w:rFonts w:hAnsi="等线"/>
                <w:sz w:val="24"/>
                <w:szCs w:val="24"/>
              </w:rPr>
            </w:pPr>
            <w:r>
              <w:rPr>
                <w:rFonts w:hint="eastAsia" w:hAnsi="等线"/>
                <w:b/>
                <w:sz w:val="24"/>
                <w:szCs w:val="24"/>
              </w:rPr>
              <w:t>首期结算指令（券券对付）：</w:t>
            </w:r>
            <w:r>
              <w:rPr>
                <w:rFonts w:hint="eastAsia" w:hAnsi="等线"/>
                <w:sz w:val="24"/>
                <w:szCs w:val="24"/>
              </w:rPr>
              <w:t>借贷成交数据的指令确认操作</w:t>
            </w:r>
          </w:p>
        </w:tc>
        <w:tc>
          <w:tcPr>
            <w:tcW w:w="7332" w:type="dxa"/>
            <w:vAlign w:val="center"/>
          </w:tcPr>
          <w:p w14:paraId="0E110826">
            <w:pPr>
              <w:topLinePunct/>
              <w:spacing w:line="240" w:lineRule="auto"/>
              <w:ind w:firstLine="0" w:firstLineChars="0"/>
              <w:jc w:val="both"/>
              <w:rPr>
                <w:rFonts w:hAnsi="等线"/>
                <w:b/>
                <w:bCs/>
                <w:sz w:val="24"/>
                <w:szCs w:val="24"/>
              </w:rPr>
            </w:pPr>
            <w:r>
              <w:rPr>
                <w:rFonts w:hAnsi="等线"/>
                <w:b/>
                <w:bCs/>
                <w:sz w:val="24"/>
                <w:szCs w:val="24"/>
              </w:rPr>
              <w:t>操作要求</w:t>
            </w:r>
            <w:r>
              <w:rPr>
                <w:rFonts w:hint="eastAsia" w:hAnsi="等线"/>
                <w:b/>
                <w:bCs/>
                <w:sz w:val="24"/>
                <w:szCs w:val="24"/>
              </w:rPr>
              <w:t>：</w:t>
            </w:r>
            <w:r>
              <w:rPr>
                <w:rFonts w:hAnsi="等线"/>
                <w:bCs/>
                <w:sz w:val="24"/>
                <w:szCs w:val="24"/>
              </w:rPr>
              <w:t>借贷双方登录上海清算所综合业务系统</w:t>
            </w:r>
            <w:r>
              <w:rPr>
                <w:rFonts w:hint="eastAsia" w:hAnsi="等线"/>
                <w:bCs/>
                <w:sz w:val="24"/>
                <w:szCs w:val="24"/>
              </w:rPr>
              <w:t>客户端</w:t>
            </w:r>
            <w:r>
              <w:rPr>
                <w:rFonts w:hAnsi="等线"/>
                <w:bCs/>
                <w:sz w:val="24"/>
                <w:szCs w:val="24"/>
              </w:rPr>
              <w:t>对</w:t>
            </w:r>
            <w:r>
              <w:rPr>
                <w:rFonts w:hint="eastAsia" w:hAnsi="等线"/>
                <w:bCs/>
                <w:sz w:val="24"/>
                <w:szCs w:val="24"/>
              </w:rPr>
              <w:t>外汇交易中心成交数据进行指令确认后，该笔借贷进入后续结算流程。</w:t>
            </w:r>
          </w:p>
          <w:p w14:paraId="3AD8C107">
            <w:pPr>
              <w:topLinePunct/>
              <w:spacing w:line="240" w:lineRule="auto"/>
              <w:ind w:firstLine="0" w:firstLineChars="0"/>
              <w:jc w:val="both"/>
              <w:rPr>
                <w:rFonts w:hAnsi="等线"/>
                <w:sz w:val="24"/>
                <w:szCs w:val="24"/>
              </w:rPr>
            </w:pPr>
            <w:r>
              <w:rPr>
                <w:rFonts w:hint="eastAsia" w:hAnsi="等线"/>
                <w:b/>
                <w:sz w:val="24"/>
                <w:szCs w:val="24"/>
              </w:rPr>
              <w:t>对于跨机构借贷，</w:t>
            </w:r>
            <w:r>
              <w:rPr>
                <w:rFonts w:hint="eastAsia" w:hAnsi="等线"/>
                <w:sz w:val="24"/>
                <w:szCs w:val="24"/>
              </w:rPr>
              <w:t>借贷双方需同时在中央结算公司系统和上海清算所综合业务系统对外汇交易中心成交数据进行指令确认后，该笔跨机构借贷进入后续结算流程</w:t>
            </w:r>
            <w:r>
              <w:rPr>
                <w:rStyle w:val="22"/>
                <w:rFonts w:hAnsi="等线"/>
                <w:sz w:val="24"/>
                <w:szCs w:val="24"/>
              </w:rPr>
              <w:footnoteReference w:id="1"/>
            </w:r>
            <w:r>
              <w:rPr>
                <w:rFonts w:hint="eastAsia" w:hAnsi="等线"/>
                <w:sz w:val="24"/>
                <w:szCs w:val="24"/>
              </w:rPr>
              <w:t>。</w:t>
            </w:r>
          </w:p>
          <w:p w14:paraId="31434C2C">
            <w:pPr>
              <w:topLinePunct/>
              <w:spacing w:line="240" w:lineRule="auto"/>
              <w:ind w:firstLine="0" w:firstLineChars="0"/>
              <w:jc w:val="both"/>
              <w:rPr>
                <w:rFonts w:hAnsi="等线"/>
                <w:sz w:val="24"/>
                <w:szCs w:val="24"/>
              </w:rPr>
            </w:pPr>
            <w:r>
              <w:rPr>
                <w:rFonts w:hAnsi="等线"/>
                <w:b/>
                <w:sz w:val="24"/>
                <w:szCs w:val="24"/>
              </w:rPr>
              <w:t>办理成交数据指令确认</w:t>
            </w:r>
            <w:r>
              <w:rPr>
                <w:rFonts w:hint="eastAsia" w:hAnsi="等线"/>
                <w:b/>
                <w:sz w:val="24"/>
                <w:szCs w:val="24"/>
              </w:rPr>
              <w:t>相关注意事项</w:t>
            </w:r>
            <w:r>
              <w:rPr>
                <w:rFonts w:hint="eastAsia" w:hAnsi="等线"/>
                <w:sz w:val="24"/>
                <w:szCs w:val="24"/>
              </w:rPr>
              <w:t>:</w:t>
            </w:r>
          </w:p>
          <w:p w14:paraId="11F1A9F5">
            <w:pPr>
              <w:topLinePunct/>
              <w:spacing w:line="240" w:lineRule="auto"/>
              <w:ind w:firstLine="0" w:firstLineChars="0"/>
              <w:jc w:val="both"/>
              <w:rPr>
                <w:sz w:val="24"/>
                <w:szCs w:val="24"/>
              </w:rPr>
            </w:pPr>
            <w:r>
              <w:rPr>
                <w:rFonts w:hint="eastAsia" w:hAnsi="等线"/>
                <w:sz w:val="24"/>
                <w:szCs w:val="24"/>
              </w:rPr>
              <w:t>为后续结算流程预留充足时间，建议借贷双方不晚于首期结算日16:3</w:t>
            </w:r>
            <w:r>
              <w:rPr>
                <w:rFonts w:hAnsi="等线"/>
                <w:sz w:val="24"/>
                <w:szCs w:val="24"/>
              </w:rPr>
              <w:t>0登录上海清算所综合业务系统客户端对成交数据进行指令确认</w:t>
            </w:r>
            <w:r>
              <w:rPr>
                <w:rFonts w:hint="eastAsia" w:hAnsi="等线"/>
                <w:sz w:val="24"/>
                <w:szCs w:val="24"/>
              </w:rPr>
              <w:t>（系统层面的截止时间为</w:t>
            </w:r>
            <w:r>
              <w:rPr>
                <w:rFonts w:hint="eastAsia"/>
                <w:sz w:val="24"/>
                <w:szCs w:val="24"/>
              </w:rPr>
              <w:t>首期结算日17:00</w:t>
            </w:r>
            <w:r>
              <w:rPr>
                <w:rFonts w:hint="eastAsia" w:hAnsi="等线"/>
                <w:sz w:val="24"/>
                <w:szCs w:val="24"/>
              </w:rPr>
              <w:t>）。</w:t>
            </w:r>
          </w:p>
          <w:p w14:paraId="7CC2543A">
            <w:pPr>
              <w:topLinePunct/>
              <w:spacing w:line="240" w:lineRule="auto"/>
              <w:ind w:firstLine="0" w:firstLineChars="0"/>
              <w:jc w:val="both"/>
              <w:rPr>
                <w:rFonts w:hAnsi="等线"/>
                <w:sz w:val="24"/>
                <w:szCs w:val="24"/>
              </w:rPr>
            </w:pPr>
            <w:r>
              <w:rPr>
                <w:rFonts w:hint="eastAsia" w:hAnsi="等线"/>
                <w:sz w:val="24"/>
                <w:szCs w:val="24"/>
              </w:rPr>
              <w:t>对于首期非T+0结算的跨机构借贷交易，借贷双方若需在首期结算日之前完成成交数据指令确认操作的，请务必在当日 17:00之前完成相关操作。</w:t>
            </w:r>
          </w:p>
          <w:p w14:paraId="5EC76136">
            <w:pPr>
              <w:topLinePunct/>
              <w:spacing w:line="240" w:lineRule="auto"/>
              <w:ind w:firstLine="0" w:firstLineChars="0"/>
              <w:jc w:val="both"/>
              <w:rPr>
                <w:rFonts w:hAnsi="等线"/>
                <w:b/>
                <w:sz w:val="24"/>
                <w:szCs w:val="24"/>
              </w:rPr>
            </w:pPr>
            <w:r>
              <w:rPr>
                <w:rFonts w:hint="eastAsia" w:hAnsi="等线"/>
                <w:b/>
                <w:sz w:val="24"/>
                <w:szCs w:val="24"/>
              </w:rPr>
              <w:t>系统操作步骤详见“2.1借贷成交数据指令确认操作步骤”。</w:t>
            </w:r>
          </w:p>
        </w:tc>
      </w:tr>
      <w:tr w14:paraId="3839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trPr>
        <w:tc>
          <w:tcPr>
            <w:tcW w:w="1258" w:type="dxa"/>
            <w:vAlign w:val="center"/>
          </w:tcPr>
          <w:p w14:paraId="25AD85F6">
            <w:pPr>
              <w:topLinePunct/>
              <w:spacing w:line="240" w:lineRule="auto"/>
              <w:ind w:firstLine="0" w:firstLineChars="0"/>
              <w:jc w:val="center"/>
              <w:rPr>
                <w:rFonts w:hAnsi="等线"/>
                <w:b/>
                <w:sz w:val="24"/>
                <w:szCs w:val="24"/>
                <w:u w:val="single"/>
              </w:rPr>
            </w:pPr>
            <w:r>
              <w:rPr>
                <w:rFonts w:hint="eastAsia" w:hAnsi="等线"/>
                <w:b/>
                <w:sz w:val="24"/>
                <w:szCs w:val="24"/>
                <w:u w:val="single"/>
              </w:rPr>
              <w:t>借贷双方</w:t>
            </w:r>
          </w:p>
        </w:tc>
        <w:tc>
          <w:tcPr>
            <w:tcW w:w="1629" w:type="dxa"/>
            <w:vAlign w:val="center"/>
          </w:tcPr>
          <w:p w14:paraId="37176EDA">
            <w:pPr>
              <w:topLinePunct/>
              <w:spacing w:line="240" w:lineRule="auto"/>
              <w:ind w:firstLine="0" w:firstLineChars="0"/>
              <w:jc w:val="both"/>
              <w:rPr>
                <w:rFonts w:hAnsi="等线"/>
                <w:b/>
                <w:sz w:val="24"/>
                <w:szCs w:val="24"/>
              </w:rPr>
            </w:pPr>
            <w:r>
              <w:rPr>
                <w:rFonts w:hint="eastAsia" w:hAnsi="等线"/>
                <w:b/>
                <w:sz w:val="24"/>
                <w:szCs w:val="24"/>
              </w:rPr>
              <w:t>借贷存续期：</w:t>
            </w:r>
          </w:p>
          <w:p w14:paraId="6BAFC8B6">
            <w:pPr>
              <w:topLinePunct/>
              <w:spacing w:line="240" w:lineRule="auto"/>
              <w:ind w:firstLine="0" w:firstLineChars="0"/>
              <w:jc w:val="both"/>
              <w:rPr>
                <w:rFonts w:hAnsi="等线"/>
                <w:sz w:val="24"/>
                <w:szCs w:val="24"/>
              </w:rPr>
            </w:pPr>
            <w:r>
              <w:rPr>
                <w:rFonts w:hAnsi="等线"/>
                <w:sz w:val="24"/>
                <w:szCs w:val="24"/>
              </w:rPr>
              <w:t>质押券</w:t>
            </w:r>
            <w:r>
              <w:rPr>
                <w:rFonts w:hint="eastAsia" w:hAnsi="等线"/>
                <w:sz w:val="24"/>
                <w:szCs w:val="24"/>
              </w:rPr>
              <w:t>置换</w:t>
            </w:r>
            <w:r>
              <w:rPr>
                <w:rFonts w:hAnsi="等线"/>
                <w:sz w:val="24"/>
                <w:szCs w:val="24"/>
              </w:rPr>
              <w:t>操作</w:t>
            </w:r>
          </w:p>
        </w:tc>
        <w:tc>
          <w:tcPr>
            <w:tcW w:w="7332" w:type="dxa"/>
            <w:vAlign w:val="center"/>
          </w:tcPr>
          <w:p w14:paraId="66799CD9">
            <w:pPr>
              <w:topLinePunct/>
              <w:spacing w:line="240" w:lineRule="auto"/>
              <w:ind w:firstLine="0" w:firstLineChars="0"/>
              <w:jc w:val="both"/>
              <w:rPr>
                <w:rFonts w:hAnsi="等线"/>
                <w:sz w:val="24"/>
                <w:szCs w:val="24"/>
              </w:rPr>
            </w:pPr>
            <w:r>
              <w:rPr>
                <w:rFonts w:hint="eastAsia" w:hAnsi="等线"/>
                <w:b/>
                <w:bCs/>
                <w:sz w:val="24"/>
                <w:szCs w:val="24"/>
              </w:rPr>
              <w:t>操作要求</w:t>
            </w:r>
            <w:r>
              <w:rPr>
                <w:rFonts w:hint="eastAsia" w:hAnsi="等线"/>
                <w:sz w:val="24"/>
                <w:szCs w:val="24"/>
              </w:rPr>
              <w:t>：经协商一致后，借贷双方在借贷存续期间</w:t>
            </w:r>
            <w:r>
              <w:rPr>
                <w:rStyle w:val="22"/>
                <w:rFonts w:hAnsi="等线"/>
                <w:sz w:val="24"/>
                <w:szCs w:val="24"/>
              </w:rPr>
              <w:footnoteReference w:id="2"/>
            </w:r>
            <w:r>
              <w:rPr>
                <w:rFonts w:hint="eastAsia" w:hAnsi="等线"/>
                <w:sz w:val="24"/>
                <w:szCs w:val="24"/>
              </w:rPr>
              <w:t>可登录上海清算所综合业务系统客户端办理质押券置换操作。</w:t>
            </w:r>
          </w:p>
          <w:p w14:paraId="1D7F4A28">
            <w:pPr>
              <w:topLinePunct/>
              <w:spacing w:line="240" w:lineRule="auto"/>
              <w:ind w:firstLine="0" w:firstLineChars="0"/>
              <w:jc w:val="both"/>
              <w:rPr>
                <w:rFonts w:hAnsi="等线"/>
                <w:sz w:val="24"/>
                <w:szCs w:val="24"/>
              </w:rPr>
            </w:pPr>
            <w:r>
              <w:rPr>
                <w:rFonts w:hint="eastAsia" w:hAnsi="等线"/>
                <w:b/>
                <w:sz w:val="24"/>
                <w:szCs w:val="24"/>
              </w:rPr>
              <w:t>对于跨机构借贷</w:t>
            </w:r>
            <w:r>
              <w:rPr>
                <w:rFonts w:hint="eastAsia" w:hAnsi="等线"/>
                <w:sz w:val="24"/>
                <w:szCs w:val="24"/>
              </w:rPr>
              <w:t>，借贷双方应通过质押券托管机构系统办理质押券置换。若部分质押券由标的券托管机构托管，则该部分质押券的置换由借贷双方通过标的券托管机构系统办理。</w:t>
            </w:r>
          </w:p>
          <w:p w14:paraId="55FFB27C">
            <w:pPr>
              <w:topLinePunct/>
              <w:spacing w:line="240" w:lineRule="auto"/>
              <w:ind w:firstLine="0" w:firstLineChars="0"/>
              <w:jc w:val="both"/>
              <w:rPr>
                <w:rFonts w:hAnsi="等线"/>
                <w:sz w:val="24"/>
                <w:szCs w:val="24"/>
              </w:rPr>
            </w:pPr>
            <w:r>
              <w:rPr>
                <w:rFonts w:hint="eastAsia" w:hAnsi="等线"/>
                <w:b/>
                <w:sz w:val="24"/>
                <w:szCs w:val="24"/>
              </w:rPr>
              <w:t>系统操作步骤详见“2.</w:t>
            </w:r>
            <w:r>
              <w:rPr>
                <w:rFonts w:hAnsi="等线"/>
                <w:b/>
                <w:sz w:val="24"/>
                <w:szCs w:val="24"/>
              </w:rPr>
              <w:t>2借贷</w:t>
            </w:r>
            <w:r>
              <w:rPr>
                <w:rFonts w:hint="eastAsia" w:hAnsi="等线"/>
                <w:b/>
                <w:sz w:val="24"/>
                <w:szCs w:val="24"/>
              </w:rPr>
              <w:t>质押券置换操作步骤”。</w:t>
            </w:r>
          </w:p>
        </w:tc>
      </w:tr>
      <w:tr w14:paraId="0FB0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258" w:type="dxa"/>
            <w:vAlign w:val="center"/>
          </w:tcPr>
          <w:p w14:paraId="66FB9F1F">
            <w:pPr>
              <w:topLinePunct/>
              <w:spacing w:line="240" w:lineRule="auto"/>
              <w:ind w:firstLine="0" w:firstLineChars="0"/>
              <w:jc w:val="center"/>
              <w:rPr>
                <w:rFonts w:hAnsi="等线"/>
                <w:b/>
                <w:sz w:val="24"/>
                <w:szCs w:val="24"/>
                <w:u w:val="single"/>
              </w:rPr>
            </w:pPr>
            <w:r>
              <w:rPr>
                <w:rFonts w:hint="eastAsia" w:hAnsi="等线"/>
                <w:b/>
                <w:sz w:val="24"/>
                <w:szCs w:val="24"/>
                <w:u w:val="single"/>
              </w:rPr>
              <w:t>借贷双方</w:t>
            </w:r>
          </w:p>
        </w:tc>
        <w:tc>
          <w:tcPr>
            <w:tcW w:w="1629" w:type="dxa"/>
            <w:vAlign w:val="center"/>
          </w:tcPr>
          <w:p w14:paraId="3BD329F6">
            <w:pPr>
              <w:topLinePunct/>
              <w:spacing w:line="240" w:lineRule="auto"/>
              <w:ind w:firstLine="0" w:firstLineChars="0"/>
              <w:jc w:val="both"/>
              <w:rPr>
                <w:rFonts w:hAnsi="等线"/>
                <w:sz w:val="24"/>
                <w:szCs w:val="24"/>
              </w:rPr>
            </w:pPr>
            <w:r>
              <w:rPr>
                <w:rFonts w:hAnsi="等线"/>
                <w:sz w:val="24"/>
                <w:szCs w:val="24"/>
              </w:rPr>
              <w:t>借贷到期现金交割</w:t>
            </w:r>
          </w:p>
        </w:tc>
        <w:tc>
          <w:tcPr>
            <w:tcW w:w="7332" w:type="dxa"/>
            <w:vAlign w:val="center"/>
          </w:tcPr>
          <w:p w14:paraId="5E907C0E">
            <w:pPr>
              <w:topLinePunct/>
              <w:spacing w:line="240" w:lineRule="auto"/>
              <w:ind w:firstLine="0" w:firstLineChars="0"/>
              <w:jc w:val="both"/>
              <w:rPr>
                <w:rFonts w:hAnsi="等线"/>
                <w:bCs/>
                <w:sz w:val="24"/>
                <w:szCs w:val="24"/>
              </w:rPr>
            </w:pPr>
            <w:r>
              <w:rPr>
                <w:rFonts w:hAnsi="等线"/>
                <w:b/>
                <w:bCs/>
                <w:sz w:val="24"/>
                <w:szCs w:val="24"/>
              </w:rPr>
              <w:t>操作要求</w:t>
            </w:r>
            <w:r>
              <w:rPr>
                <w:rFonts w:hint="eastAsia" w:hAnsi="等线"/>
                <w:b/>
                <w:bCs/>
                <w:sz w:val="24"/>
                <w:szCs w:val="24"/>
              </w:rPr>
              <w:t>：</w:t>
            </w:r>
            <w:r>
              <w:rPr>
                <w:rFonts w:hint="eastAsia" w:hAnsi="等线"/>
                <w:bCs/>
                <w:sz w:val="24"/>
                <w:szCs w:val="24"/>
              </w:rPr>
              <w:t>借贷双方协商一致后在借贷到期结算日前一工作日17:00之前，可登录上海清算所综合业务系统客户端办理到期现金交割。</w:t>
            </w:r>
          </w:p>
          <w:p w14:paraId="69BDFFF6">
            <w:pPr>
              <w:topLinePunct/>
              <w:spacing w:line="240" w:lineRule="auto"/>
              <w:ind w:firstLine="0" w:firstLineChars="0"/>
              <w:jc w:val="both"/>
              <w:rPr>
                <w:rFonts w:hAnsi="等线"/>
                <w:bCs/>
                <w:sz w:val="24"/>
                <w:szCs w:val="24"/>
              </w:rPr>
            </w:pPr>
            <w:r>
              <w:rPr>
                <w:rFonts w:hint="eastAsia" w:hAnsi="等线"/>
                <w:b/>
                <w:sz w:val="24"/>
                <w:szCs w:val="24"/>
              </w:rPr>
              <w:t>对于跨机构借贷</w:t>
            </w:r>
            <w:r>
              <w:rPr>
                <w:rFonts w:hint="eastAsia" w:hAnsi="等线"/>
                <w:sz w:val="24"/>
                <w:szCs w:val="24"/>
              </w:rPr>
              <w:t>，仅当上海清算所作为该笔跨机构借贷对应标的券托管机构时，借贷双方协商一致后</w:t>
            </w:r>
            <w:r>
              <w:rPr>
                <w:rFonts w:hint="eastAsia" w:hAnsi="等线"/>
                <w:bCs/>
                <w:sz w:val="24"/>
                <w:szCs w:val="24"/>
              </w:rPr>
              <w:t>在借贷到期结算日前一工作日17:00之前，可登录上海清算所综合业务系统客户端办理到期现金交割。</w:t>
            </w:r>
          </w:p>
          <w:p w14:paraId="28CABBE7">
            <w:pPr>
              <w:topLinePunct/>
              <w:spacing w:line="240" w:lineRule="auto"/>
              <w:ind w:firstLine="0" w:firstLineChars="0"/>
              <w:jc w:val="both"/>
              <w:rPr>
                <w:rFonts w:hAnsi="等线"/>
                <w:b/>
                <w:bCs/>
                <w:sz w:val="24"/>
                <w:szCs w:val="24"/>
              </w:rPr>
            </w:pPr>
            <w:r>
              <w:rPr>
                <w:rFonts w:hint="eastAsia" w:hAnsi="等线"/>
                <w:b/>
                <w:sz w:val="24"/>
                <w:szCs w:val="24"/>
              </w:rPr>
              <w:t>系统操作步骤详见“2.</w:t>
            </w:r>
            <w:r>
              <w:rPr>
                <w:rFonts w:hAnsi="等线"/>
                <w:b/>
                <w:sz w:val="24"/>
                <w:szCs w:val="24"/>
              </w:rPr>
              <w:t>3借贷</w:t>
            </w:r>
            <w:r>
              <w:rPr>
                <w:rFonts w:hint="eastAsia" w:hAnsi="等线"/>
                <w:b/>
                <w:sz w:val="24"/>
                <w:szCs w:val="24"/>
              </w:rPr>
              <w:t>到期现金交割操作</w:t>
            </w:r>
            <w:r>
              <w:rPr>
                <w:rFonts w:hAnsi="等线"/>
                <w:b/>
                <w:sz w:val="24"/>
                <w:szCs w:val="24"/>
              </w:rPr>
              <w:t>步骤</w:t>
            </w:r>
            <w:r>
              <w:rPr>
                <w:rFonts w:hint="eastAsia" w:hAnsi="等线"/>
                <w:b/>
                <w:sz w:val="24"/>
                <w:szCs w:val="24"/>
              </w:rPr>
              <w:t>”。</w:t>
            </w:r>
          </w:p>
        </w:tc>
      </w:tr>
      <w:tr w14:paraId="2EEDF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1258" w:type="dxa"/>
            <w:vAlign w:val="center"/>
          </w:tcPr>
          <w:p w14:paraId="51572F03">
            <w:pPr>
              <w:topLinePunct/>
              <w:spacing w:line="240" w:lineRule="auto"/>
              <w:ind w:firstLine="0" w:firstLineChars="0"/>
              <w:jc w:val="center"/>
              <w:rPr>
                <w:rFonts w:hAnsi="等线"/>
                <w:b/>
                <w:sz w:val="24"/>
                <w:szCs w:val="24"/>
                <w:u w:val="single"/>
              </w:rPr>
            </w:pPr>
            <w:r>
              <w:rPr>
                <w:rFonts w:hint="eastAsia" w:hAnsi="等线"/>
                <w:b/>
                <w:sz w:val="24"/>
                <w:szCs w:val="24"/>
                <w:u w:val="single"/>
              </w:rPr>
              <w:t>借贷双方</w:t>
            </w:r>
          </w:p>
        </w:tc>
        <w:tc>
          <w:tcPr>
            <w:tcW w:w="1629" w:type="dxa"/>
            <w:vAlign w:val="center"/>
          </w:tcPr>
          <w:p w14:paraId="04C80D83">
            <w:pPr>
              <w:topLinePunct/>
              <w:spacing w:line="240" w:lineRule="auto"/>
              <w:ind w:firstLine="0" w:firstLineChars="0"/>
              <w:jc w:val="both"/>
              <w:rPr>
                <w:rFonts w:hAnsi="等线"/>
                <w:sz w:val="24"/>
                <w:szCs w:val="24"/>
              </w:rPr>
            </w:pPr>
            <w:r>
              <w:rPr>
                <w:rFonts w:hint="eastAsia" w:hAnsi="等线"/>
                <w:sz w:val="24"/>
                <w:szCs w:val="24"/>
              </w:rPr>
              <w:t>借贷到期提前</w:t>
            </w:r>
            <w:r>
              <w:rPr>
                <w:rFonts w:hAnsi="等线"/>
                <w:sz w:val="24"/>
                <w:szCs w:val="24"/>
              </w:rPr>
              <w:t>终止</w:t>
            </w:r>
          </w:p>
        </w:tc>
        <w:tc>
          <w:tcPr>
            <w:tcW w:w="7332" w:type="dxa"/>
            <w:vAlign w:val="center"/>
          </w:tcPr>
          <w:p w14:paraId="2C986D0E">
            <w:pPr>
              <w:topLinePunct/>
              <w:spacing w:line="240" w:lineRule="auto"/>
              <w:ind w:firstLine="0" w:firstLineChars="0"/>
              <w:jc w:val="both"/>
              <w:rPr>
                <w:rFonts w:hAnsi="等线"/>
                <w:sz w:val="24"/>
                <w:szCs w:val="24"/>
              </w:rPr>
            </w:pPr>
            <w:r>
              <w:rPr>
                <w:rFonts w:hint="eastAsia" w:hAnsi="等线"/>
                <w:b/>
                <w:bCs/>
                <w:sz w:val="24"/>
                <w:szCs w:val="24"/>
              </w:rPr>
              <w:t>操作要求</w:t>
            </w:r>
            <w:r>
              <w:rPr>
                <w:rFonts w:hint="eastAsia" w:hAnsi="等线"/>
                <w:sz w:val="24"/>
                <w:szCs w:val="24"/>
              </w:rPr>
              <w:t>：若发生借贷交易主协议相关条款认定的终止事件，借贷双方协商一致后，不晚于计划提前终止结算日前3个工作日中午12:00之前向上海清算所运营部提交《债券借贷到期提前终止申请表》（附件</w:t>
            </w:r>
            <w:r>
              <w:rPr>
                <w:rFonts w:hint="eastAsia" w:hAnsi="等线"/>
                <w:sz w:val="24"/>
                <w:szCs w:val="24"/>
                <w:lang w:val="en-US" w:eastAsia="zh-CN"/>
              </w:rPr>
              <w:t>1</w:t>
            </w:r>
            <w:r>
              <w:rPr>
                <w:rFonts w:hint="eastAsia" w:hAnsi="等线"/>
                <w:sz w:val="24"/>
                <w:szCs w:val="24"/>
              </w:rPr>
              <w:t>）PDF格式盖章扫描件等材料办理提前终止。</w:t>
            </w:r>
          </w:p>
          <w:p w14:paraId="5F28DF31">
            <w:pPr>
              <w:topLinePunct/>
              <w:spacing w:line="240" w:lineRule="auto"/>
              <w:ind w:firstLine="0" w:firstLineChars="0"/>
              <w:jc w:val="both"/>
              <w:rPr>
                <w:rFonts w:hAnsi="等线"/>
                <w:sz w:val="24"/>
                <w:szCs w:val="24"/>
              </w:rPr>
            </w:pPr>
            <w:r>
              <w:rPr>
                <w:rFonts w:hint="eastAsia" w:hAnsi="等线"/>
                <w:b/>
                <w:sz w:val="24"/>
                <w:szCs w:val="24"/>
              </w:rPr>
              <w:t>对于跨机构借贷，</w:t>
            </w:r>
            <w:r>
              <w:rPr>
                <w:rFonts w:hint="eastAsia" w:hAnsi="等线"/>
                <w:sz w:val="24"/>
                <w:szCs w:val="24"/>
              </w:rPr>
              <w:t>仅当上海清算所作为该笔跨机构借贷对应标的券托管机构时，上海清算所负责接收借贷双方所提交的《债券借贷到期提前终止申请表》PDF格式盖章扫描件。</w:t>
            </w:r>
          </w:p>
          <w:p w14:paraId="637E76CD">
            <w:pPr>
              <w:topLinePunct/>
              <w:spacing w:line="240" w:lineRule="auto"/>
              <w:ind w:firstLine="0" w:firstLineChars="0"/>
              <w:jc w:val="both"/>
              <w:rPr>
                <w:rFonts w:hAnsi="等线"/>
                <w:b/>
                <w:sz w:val="24"/>
                <w:szCs w:val="24"/>
              </w:rPr>
            </w:pPr>
            <w:r>
              <w:rPr>
                <w:rFonts w:hint="eastAsia" w:hAnsi="等线"/>
                <w:b/>
                <w:sz w:val="24"/>
                <w:szCs w:val="24"/>
              </w:rPr>
              <w:t>系统操作步骤详见“2.4借贷到期提前终止操作要求”。</w:t>
            </w:r>
          </w:p>
        </w:tc>
      </w:tr>
      <w:tr w14:paraId="0CD1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258" w:type="dxa"/>
            <w:vAlign w:val="center"/>
          </w:tcPr>
          <w:p w14:paraId="366D0DEF">
            <w:pPr>
              <w:topLinePunct/>
              <w:spacing w:line="240" w:lineRule="auto"/>
              <w:ind w:firstLine="0" w:firstLineChars="0"/>
              <w:jc w:val="center"/>
              <w:rPr>
                <w:rFonts w:hAnsi="等线"/>
                <w:b/>
                <w:sz w:val="24"/>
                <w:szCs w:val="24"/>
                <w:u w:val="single"/>
              </w:rPr>
            </w:pPr>
            <w:r>
              <w:rPr>
                <w:rFonts w:hint="eastAsia" w:hAnsi="等线"/>
                <w:b/>
                <w:sz w:val="24"/>
                <w:szCs w:val="24"/>
                <w:u w:val="single"/>
              </w:rPr>
              <w:t>借贷双方</w:t>
            </w:r>
          </w:p>
        </w:tc>
        <w:tc>
          <w:tcPr>
            <w:tcW w:w="1629" w:type="dxa"/>
            <w:vAlign w:val="center"/>
          </w:tcPr>
          <w:p w14:paraId="587B45D3">
            <w:pPr>
              <w:topLinePunct/>
              <w:spacing w:line="240" w:lineRule="auto"/>
              <w:ind w:firstLine="0" w:firstLineChars="0"/>
              <w:jc w:val="both"/>
              <w:rPr>
                <w:rFonts w:hAnsi="等线"/>
                <w:sz w:val="24"/>
                <w:szCs w:val="24"/>
              </w:rPr>
            </w:pPr>
            <w:r>
              <w:rPr>
                <w:rFonts w:hint="eastAsia" w:hAnsi="等线"/>
                <w:sz w:val="24"/>
                <w:szCs w:val="24"/>
              </w:rPr>
              <w:t>到期结算失败后的处置：到期逾期返售</w:t>
            </w:r>
          </w:p>
        </w:tc>
        <w:tc>
          <w:tcPr>
            <w:tcW w:w="7332" w:type="dxa"/>
            <w:vAlign w:val="center"/>
          </w:tcPr>
          <w:p w14:paraId="394B8287">
            <w:pPr>
              <w:topLinePunct/>
              <w:spacing w:line="240" w:lineRule="auto"/>
              <w:ind w:firstLine="0" w:firstLineChars="0"/>
              <w:jc w:val="both"/>
              <w:rPr>
                <w:rFonts w:hAnsi="等线"/>
                <w:sz w:val="24"/>
                <w:szCs w:val="24"/>
              </w:rPr>
            </w:pPr>
            <w:r>
              <w:rPr>
                <w:rFonts w:hint="eastAsia" w:hAnsi="等线"/>
                <w:b/>
                <w:sz w:val="24"/>
                <w:szCs w:val="24"/>
              </w:rPr>
              <w:t>操作要求：</w:t>
            </w:r>
            <w:r>
              <w:rPr>
                <w:rFonts w:hint="eastAsia" w:hAnsi="等线"/>
                <w:sz w:val="24"/>
                <w:szCs w:val="24"/>
              </w:rPr>
              <w:t>自债券借贷到期结算失败后次1工作日起，借贷双方可自行通过上海清算所综合业务系统客户端对已结算失败的到期结算指令发起逾期返售。</w:t>
            </w:r>
          </w:p>
          <w:p w14:paraId="60C820E2">
            <w:pPr>
              <w:topLinePunct/>
              <w:spacing w:line="240" w:lineRule="auto"/>
              <w:ind w:firstLine="0" w:firstLineChars="0"/>
              <w:jc w:val="both"/>
              <w:rPr>
                <w:rFonts w:hAnsi="等线"/>
                <w:sz w:val="24"/>
                <w:szCs w:val="24"/>
              </w:rPr>
            </w:pPr>
            <w:r>
              <w:rPr>
                <w:rFonts w:hAnsi="等线"/>
                <w:b/>
                <w:sz w:val="24"/>
                <w:szCs w:val="24"/>
              </w:rPr>
              <w:t>对于跨机构借贷</w:t>
            </w:r>
            <w:r>
              <w:rPr>
                <w:rFonts w:hint="eastAsia" w:hAnsi="等线"/>
                <w:b/>
                <w:sz w:val="24"/>
                <w:szCs w:val="24"/>
              </w:rPr>
              <w:t>，</w:t>
            </w:r>
            <w:r>
              <w:rPr>
                <w:rFonts w:hint="eastAsia" w:hAnsi="等线"/>
                <w:sz w:val="24"/>
                <w:szCs w:val="24"/>
              </w:rPr>
              <w:t>仅当上海清算所作为该笔跨机构借贷对应标的券托管机构时，借贷双方在登录综合业务系统客户端办理逾期返售操作的同时，需在逾期返售指令结算成功当日中午12:00前通过电子邮件将《跨托管机构债券借贷到期逾期返售申请表》（附件3）及相关到期逾期返售指令已成功结算的业务单据发送至上海清算所运营部指定邮箱。</w:t>
            </w:r>
          </w:p>
          <w:p w14:paraId="2AAA3D49">
            <w:pPr>
              <w:topLinePunct/>
              <w:spacing w:line="240" w:lineRule="auto"/>
              <w:ind w:firstLine="0" w:firstLineChars="0"/>
              <w:jc w:val="both"/>
              <w:rPr>
                <w:rFonts w:hAnsi="等线"/>
                <w:b/>
                <w:sz w:val="24"/>
                <w:szCs w:val="24"/>
              </w:rPr>
            </w:pPr>
            <w:r>
              <w:rPr>
                <w:rFonts w:hint="eastAsia" w:hAnsi="等线"/>
                <w:b/>
                <w:sz w:val="24"/>
                <w:szCs w:val="24"/>
              </w:rPr>
              <w:t>系统操作步骤详见“2.5借贷到期逾期返售操作</w:t>
            </w:r>
            <w:r>
              <w:rPr>
                <w:rFonts w:hAnsi="等线"/>
                <w:b/>
                <w:sz w:val="24"/>
                <w:szCs w:val="24"/>
              </w:rPr>
              <w:t>步骤</w:t>
            </w:r>
            <w:r>
              <w:rPr>
                <w:rFonts w:hint="eastAsia" w:hAnsi="等线"/>
                <w:b/>
                <w:sz w:val="24"/>
                <w:szCs w:val="24"/>
              </w:rPr>
              <w:t>”。</w:t>
            </w:r>
          </w:p>
        </w:tc>
      </w:tr>
    </w:tbl>
    <w:p w14:paraId="456F393D">
      <w:pPr>
        <w:pStyle w:val="32"/>
        <w:keepNext w:val="0"/>
        <w:keepLines w:val="0"/>
        <w:widowControl/>
        <w:topLinePunct/>
        <w:ind w:firstLine="643"/>
        <w:rPr>
          <w:b w:val="0"/>
          <w:bCs w:val="0"/>
        </w:rPr>
      </w:pPr>
      <w:bookmarkStart w:id="15" w:name="_Toc185516975"/>
      <w:bookmarkStart w:id="16" w:name="_Toc222618076"/>
      <w:r>
        <w:rPr>
          <w:b/>
          <w:bCs w:val="0"/>
        </w:rPr>
        <w:br w:type="page"/>
      </w:r>
      <w:bookmarkStart w:id="17" w:name="_Toc177093093"/>
      <w:bookmarkStart w:id="18" w:name="_Toc1424359153"/>
      <w:r>
        <w:rPr>
          <w:b w:val="0"/>
          <w:bCs w:val="0"/>
        </w:rPr>
        <w:t>1.3跨机构借贷</w:t>
      </w:r>
      <w:r>
        <w:rPr>
          <w:rFonts w:hint="eastAsia"/>
          <w:b w:val="0"/>
          <w:bCs w:val="0"/>
        </w:rPr>
        <w:t>相关业务流程概述</w:t>
      </w:r>
      <w:bookmarkEnd w:id="17"/>
      <w:bookmarkEnd w:id="18"/>
    </w:p>
    <w:p w14:paraId="73BFC0E0">
      <w:pPr>
        <w:pStyle w:val="33"/>
        <w:ind w:firstLine="640"/>
      </w:pPr>
      <w:bookmarkStart w:id="19" w:name="_Toc839243388"/>
      <w:bookmarkStart w:id="20" w:name="_Toc1560706441"/>
      <w:r>
        <w:rPr>
          <w:rFonts w:hint="eastAsia"/>
        </w:rPr>
        <w:t>1.3.1上海清算所作为质押券托管机构的流程概述</w:t>
      </w:r>
      <w:bookmarkEnd w:id="19"/>
      <w:bookmarkEnd w:id="20"/>
    </w:p>
    <w:p w14:paraId="1C28AF74">
      <w:pPr>
        <w:ind w:firstLine="640"/>
        <w:jc w:val="both"/>
        <w:rPr>
          <w:lang w:val="en-GB"/>
        </w:rPr>
      </w:pPr>
      <w:r>
        <w:rPr>
          <w:rFonts w:hint="eastAsia"/>
          <w:lang w:val="en-GB"/>
        </w:rPr>
        <w:t>对于</w:t>
      </w:r>
      <w:r>
        <w:rPr>
          <w:lang w:val="en-GB"/>
        </w:rPr>
        <w:t>上海清算所作为</w:t>
      </w:r>
      <w:r>
        <w:rPr>
          <w:rFonts w:hint="eastAsia"/>
          <w:lang w:val="en-GB"/>
        </w:rPr>
        <w:t>质押券</w:t>
      </w:r>
      <w:r>
        <w:rPr>
          <w:lang w:val="en-GB"/>
        </w:rPr>
        <w:t>托管机构的场景</w:t>
      </w:r>
      <w:r>
        <w:rPr>
          <w:rFonts w:hint="eastAsia"/>
          <w:lang w:val="en-GB"/>
        </w:rPr>
        <w:t>，待借贷双方在上海清算所系统及中央结算公司系统均完成对该笔跨机构借贷</w:t>
      </w:r>
      <w:r>
        <w:rPr>
          <w:lang w:val="en-GB"/>
        </w:rPr>
        <w:t>成交数据的指令确认操作</w:t>
      </w:r>
      <w:r>
        <w:rPr>
          <w:rFonts w:hint="eastAsia"/>
          <w:lang w:val="en-GB"/>
        </w:rPr>
        <w:t>，且上海清算所成功接收中央结算公司发送的成交数据已完成确认通知后</w:t>
      </w:r>
      <w:r>
        <w:rPr>
          <w:rStyle w:val="22"/>
          <w:lang w:val="en-GB"/>
        </w:rPr>
        <w:footnoteReference w:id="3"/>
      </w:r>
      <w:r>
        <w:rPr>
          <w:rFonts w:hint="eastAsia"/>
          <w:lang w:val="en-GB"/>
        </w:rPr>
        <w:t>，该笔成交数据在综合业务系统【清算-本币清算平台-本币全额-全额交易明细管理】界面的【交易状态】从“待确认”变更为“已确认”</w:t>
      </w:r>
      <w:r>
        <w:rPr>
          <w:rStyle w:val="22"/>
          <w:lang w:val="en-GB"/>
        </w:rPr>
        <w:footnoteReference w:id="4"/>
      </w:r>
      <w:r>
        <w:rPr>
          <w:rFonts w:hint="eastAsia"/>
          <w:lang w:val="en-GB"/>
        </w:rPr>
        <w:t>，并在综合业务系统【清算-本币清算平台-本币全额-全额结算管理】界面生成该笔跨机构借贷首期结算指令</w:t>
      </w:r>
      <w:r>
        <w:rPr>
          <w:rStyle w:val="22"/>
          <w:lang w:val="en-GB"/>
        </w:rPr>
        <w:footnoteReference w:id="5"/>
      </w:r>
      <w:r>
        <w:rPr>
          <w:rFonts w:hint="eastAsia"/>
          <w:lang w:val="en-GB"/>
        </w:rPr>
        <w:t>。</w:t>
      </w:r>
    </w:p>
    <w:p w14:paraId="1459DAD0">
      <w:pPr>
        <w:spacing w:line="240" w:lineRule="auto"/>
        <w:ind w:firstLine="0" w:firstLineChars="0"/>
        <w:rPr>
          <w:lang w:val="en-GB"/>
        </w:rPr>
      </w:pPr>
      <w:r>
        <w:rPr>
          <w:snapToGrid/>
        </w:rPr>
        <w:drawing>
          <wp:inline distT="0" distB="0" distL="114300" distR="114300">
            <wp:extent cx="5270500" cy="189865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70500" cy="1898650"/>
                    </a:xfrm>
                    <a:prstGeom prst="rect">
                      <a:avLst/>
                    </a:prstGeom>
                    <a:noFill/>
                    <a:ln>
                      <a:noFill/>
                    </a:ln>
                  </pic:spPr>
                </pic:pic>
              </a:graphicData>
            </a:graphic>
          </wp:inline>
        </w:drawing>
      </w:r>
    </w:p>
    <w:p w14:paraId="67AD5D04">
      <w:pPr>
        <w:ind w:firstLine="640"/>
        <w:jc w:val="both"/>
        <w:rPr>
          <w:lang w:val="en-GB"/>
        </w:rPr>
      </w:pPr>
      <w:r>
        <w:rPr>
          <w:rFonts w:hint="eastAsia"/>
          <w:lang w:val="en-GB"/>
        </w:rPr>
        <w:t>首期结算日，上海清算所（质押券</w:t>
      </w:r>
      <w:r>
        <w:rPr>
          <w:lang w:val="en-GB"/>
        </w:rPr>
        <w:t>托管机构</w:t>
      </w:r>
      <w:r>
        <w:rPr>
          <w:rFonts w:hint="eastAsia"/>
          <w:lang w:val="en-GB"/>
        </w:rPr>
        <w:t>）综合业务系统自动检查债券融入方账户质押券足额后完成质押</w:t>
      </w:r>
      <w:r>
        <w:rPr>
          <w:rStyle w:val="22"/>
          <w:lang w:val="en-GB"/>
        </w:rPr>
        <w:footnoteReference w:id="6"/>
      </w:r>
      <w:r>
        <w:rPr>
          <w:rFonts w:hint="eastAsia"/>
          <w:lang w:val="en-GB"/>
        </w:rPr>
        <w:t>，并向中央结算公司（标的券托管机构）发送质押成功结果通知，中央结算公司据此办理标的券过户、质押券（若有）质押操作，首期结算成功。</w:t>
      </w:r>
    </w:p>
    <w:p w14:paraId="3F054324">
      <w:pPr>
        <w:spacing w:line="240" w:lineRule="auto"/>
        <w:ind w:firstLine="0" w:firstLineChars="0"/>
        <w:jc w:val="both"/>
        <w:rPr>
          <w:lang w:val="en-GB"/>
        </w:rPr>
      </w:pPr>
      <w:r>
        <w:rPr>
          <w:snapToGrid/>
        </w:rPr>
        <w:drawing>
          <wp:inline distT="0" distB="0" distL="114300" distR="114300">
            <wp:extent cx="5277485" cy="3103880"/>
            <wp:effectExtent l="0" t="0" r="18415"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5277485" cy="3103880"/>
                    </a:xfrm>
                    <a:prstGeom prst="rect">
                      <a:avLst/>
                    </a:prstGeom>
                    <a:noFill/>
                    <a:ln>
                      <a:noFill/>
                    </a:ln>
                  </pic:spPr>
                </pic:pic>
              </a:graphicData>
            </a:graphic>
          </wp:inline>
        </w:drawing>
      </w:r>
    </w:p>
    <w:p w14:paraId="01AC112F">
      <w:pPr>
        <w:ind w:firstLine="640"/>
        <w:jc w:val="both"/>
        <w:rPr>
          <w:lang w:val="en-GB"/>
        </w:rPr>
      </w:pPr>
      <w:r>
        <w:rPr>
          <w:rFonts w:hint="eastAsia"/>
          <w:lang w:val="en-GB"/>
        </w:rPr>
        <w:t>上海清算所综合业务系统首期结算指令执行成功后，综合业务系统【清算-本币清算平台-本币全额-全额结算管理】界面将自动生成首期解押指令</w:t>
      </w:r>
      <w:r>
        <w:rPr>
          <w:rStyle w:val="22"/>
          <w:lang w:val="en-GB"/>
        </w:rPr>
        <w:footnoteReference w:id="7"/>
      </w:r>
      <w:r>
        <w:rPr>
          <w:rFonts w:hint="eastAsia"/>
          <w:lang w:val="en-GB"/>
        </w:rPr>
        <w:t>，其【全额结算指令状态】为“待确认”。后续，若中央结算公司办理标的券过户成功，首期解押指令的【全额结算指令状态】将从“待确认”变更为“失败”，即无需对已质押债券进行解押，综合业务系统【清算-本币清算平台-本币全额-全额结算管理】界面同步自动生成该笔跨机构借贷的到期结算指令</w:t>
      </w:r>
      <w:r>
        <w:rPr>
          <w:rStyle w:val="22"/>
          <w:lang w:val="en-GB"/>
        </w:rPr>
        <w:footnoteReference w:id="8"/>
      </w:r>
      <w:r>
        <w:rPr>
          <w:rFonts w:hint="eastAsia"/>
          <w:lang w:val="en-GB"/>
        </w:rPr>
        <w:t>。</w:t>
      </w:r>
    </w:p>
    <w:p w14:paraId="40D76929">
      <w:pPr>
        <w:spacing w:line="240" w:lineRule="auto"/>
        <w:ind w:firstLine="0" w:firstLineChars="0"/>
        <w:jc w:val="both"/>
        <w:rPr>
          <w:lang w:val="en-GB"/>
        </w:rPr>
      </w:pPr>
      <w:r>
        <w:rPr>
          <w:snapToGrid/>
        </w:rPr>
        <w:drawing>
          <wp:inline distT="0" distB="0" distL="114300" distR="114300">
            <wp:extent cx="5046345" cy="3292475"/>
            <wp:effectExtent l="0" t="0" r="1905"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a:stretch>
                      <a:fillRect/>
                    </a:stretch>
                  </pic:blipFill>
                  <pic:spPr>
                    <a:xfrm>
                      <a:off x="0" y="0"/>
                      <a:ext cx="5046345" cy="3292475"/>
                    </a:xfrm>
                    <a:prstGeom prst="rect">
                      <a:avLst/>
                    </a:prstGeom>
                    <a:noFill/>
                    <a:ln>
                      <a:noFill/>
                    </a:ln>
                  </pic:spPr>
                </pic:pic>
              </a:graphicData>
            </a:graphic>
          </wp:inline>
        </w:drawing>
      </w:r>
    </w:p>
    <w:p w14:paraId="582CFEAA">
      <w:pPr>
        <w:ind w:firstLine="640"/>
        <w:jc w:val="both"/>
        <w:rPr>
          <w:snapToGrid/>
        </w:rPr>
      </w:pPr>
      <w:r>
        <w:rPr>
          <w:rFonts w:hint="eastAsia"/>
          <w:lang w:val="en-GB"/>
        </w:rPr>
        <w:t>截至首期结算日17:00，上海清算所（质押券托管机构）托管的质押券余额不足的，首期结算失败</w:t>
      </w:r>
      <w:r>
        <w:rPr>
          <w:rStyle w:val="22"/>
          <w:lang w:val="en-GB"/>
        </w:rPr>
        <w:footnoteReference w:id="9"/>
      </w:r>
      <w:r>
        <w:rPr>
          <w:rFonts w:hint="eastAsia"/>
          <w:lang w:val="en-GB"/>
        </w:rPr>
        <w:t>，并向中央结算公司（标的券托管机构）发送质押失败结果通知，中央结算公司据此不办理后续标的券过户、质押券（若有）质押操作。</w:t>
      </w:r>
    </w:p>
    <w:p w14:paraId="45330ACE">
      <w:pPr>
        <w:ind w:firstLine="640"/>
        <w:jc w:val="both"/>
        <w:rPr>
          <w:lang w:val="en-GB"/>
        </w:rPr>
      </w:pPr>
      <w:r>
        <w:rPr>
          <w:rFonts w:hint="eastAsia"/>
          <w:lang w:val="en-GB"/>
        </w:rPr>
        <w:t>对于上海清算所（质押券托管机构）成功办理质押券质押操作后，截至首期结算日17:05，若上海清算所成功接收到中央结算公司办理标的券过户失败的通知，首期解押指令的【全额结算指令状态】从“待确认”变更为“成功”</w:t>
      </w:r>
      <w:r>
        <w:rPr>
          <w:rStyle w:val="22"/>
          <w:lang w:val="en-GB"/>
        </w:rPr>
        <w:footnoteReference w:id="10"/>
      </w:r>
      <w:r>
        <w:rPr>
          <w:rFonts w:hint="eastAsia"/>
          <w:lang w:val="en-GB"/>
        </w:rPr>
        <w:t>，即综合业务系统自动对债券融入方已质押债券进行解押。</w:t>
      </w:r>
    </w:p>
    <w:p w14:paraId="6CD902EF">
      <w:pPr>
        <w:ind w:firstLine="640"/>
        <w:jc w:val="both"/>
        <w:rPr>
          <w:lang w:val="en-GB"/>
        </w:rPr>
      </w:pPr>
      <w:r>
        <w:rPr>
          <w:lang w:val="en-GB"/>
        </w:rPr>
        <w:t>跨机构借贷到期结算日</w:t>
      </w:r>
      <w:r>
        <w:rPr>
          <w:rFonts w:hint="eastAsia"/>
          <w:lang w:val="en-GB"/>
        </w:rPr>
        <w:t>，中央结算公司（标的券托管机构）自动办理标的券过户、借贷费用划付，解押本机构托管的质押券（如有）后，向上海清算所（质押券托管机构）发送质押券解押通知，上海清算所据此办理质押券解押操作。截至到期结算日17:00，若中央结算公司债券融入方账户标的券余额或借贷费不足额的，则到期结算失败，中央结算公司向上海清算所发送结算失败结果通知，上海清算所不办理质押券解押操作。</w:t>
      </w:r>
    </w:p>
    <w:p w14:paraId="7CD0CFDC">
      <w:pPr>
        <w:ind w:firstLine="640"/>
        <w:jc w:val="both"/>
        <w:rPr>
          <w:lang w:val="en-GB"/>
        </w:rPr>
      </w:pPr>
      <w:r>
        <w:rPr>
          <w:rFonts w:hint="eastAsia"/>
          <w:lang w:val="en-GB"/>
        </w:rPr>
        <w:t>若因基础设施机构系统信息交互等原因，上海清算所综合业务系统在</w:t>
      </w:r>
      <w:r>
        <w:rPr>
          <w:lang w:val="en-GB"/>
        </w:rPr>
        <w:t>首期结算日</w:t>
      </w:r>
      <w:r>
        <w:rPr>
          <w:rFonts w:hint="eastAsia"/>
          <w:lang w:val="en-GB"/>
        </w:rPr>
        <w:t>17:05之前未接收到中央结算公司发送的标的券过户失败通知的，或在到期结算日</w:t>
      </w:r>
      <w:r>
        <w:rPr>
          <w:rFonts w:hint="eastAsia"/>
        </w:rPr>
        <w:t>17:05之前未接收到中央结算公司发送的标的券过户成功通知，导致上海清算所综合业务系统无法在</w:t>
      </w:r>
      <w:r>
        <w:rPr>
          <w:rFonts w:hint="eastAsia"/>
          <w:lang w:val="en-GB"/>
        </w:rPr>
        <w:t>首期</w:t>
      </w:r>
      <w:r>
        <w:rPr>
          <w:rFonts w:hint="eastAsia"/>
        </w:rPr>
        <w:t>/到期</w:t>
      </w:r>
      <w:r>
        <w:rPr>
          <w:rFonts w:hint="eastAsia"/>
          <w:lang w:val="en-GB"/>
        </w:rPr>
        <w:t>结算日</w:t>
      </w:r>
      <w:r>
        <w:rPr>
          <w:rFonts w:hint="eastAsia"/>
        </w:rPr>
        <w:t>办理质押券解押的，</w:t>
      </w:r>
      <w:r>
        <w:rPr>
          <w:rFonts w:hint="eastAsia"/>
          <w:lang w:val="en-GB"/>
        </w:rPr>
        <w:t>上海清算所后续将视基础设施机构间实际沟通情况，不晚于首期</w:t>
      </w:r>
      <w:r>
        <w:rPr>
          <w:rFonts w:hint="eastAsia"/>
        </w:rPr>
        <w:t>/到期</w:t>
      </w:r>
      <w:r>
        <w:rPr>
          <w:rFonts w:hint="eastAsia"/>
          <w:lang w:val="en-GB"/>
        </w:rPr>
        <w:t>结算日的次一工作日完成相关质押券的解押操作。</w:t>
      </w:r>
    </w:p>
    <w:p w14:paraId="389EA99C">
      <w:pPr>
        <w:ind w:firstLine="0" w:firstLineChars="0"/>
        <w:jc w:val="both"/>
        <w:rPr>
          <w:lang w:val="en-GB"/>
        </w:rPr>
      </w:pPr>
    </w:p>
    <w:p w14:paraId="371EC7F1">
      <w:pPr>
        <w:ind w:firstLine="0" w:firstLineChars="0"/>
        <w:jc w:val="both"/>
        <w:rPr>
          <w:lang w:val="en-GB"/>
        </w:rPr>
      </w:pPr>
    </w:p>
    <w:p w14:paraId="44858527">
      <w:pPr>
        <w:pStyle w:val="33"/>
        <w:ind w:firstLine="640"/>
      </w:pPr>
      <w:r>
        <w:br w:type="page"/>
      </w:r>
      <w:bookmarkStart w:id="21" w:name="_Toc202666589"/>
      <w:bookmarkStart w:id="22" w:name="_Toc2130985840"/>
      <w:r>
        <w:t>1.3.2</w:t>
      </w:r>
      <w:r>
        <w:rPr>
          <w:rFonts w:hint="eastAsia"/>
        </w:rPr>
        <w:t>上海清算所作为标的券托管机构的流程概述</w:t>
      </w:r>
      <w:bookmarkEnd w:id="21"/>
      <w:bookmarkEnd w:id="22"/>
    </w:p>
    <w:p w14:paraId="319C4CB3">
      <w:pPr>
        <w:ind w:firstLine="640"/>
        <w:jc w:val="both"/>
        <w:rPr>
          <w:lang w:val="en-GB"/>
        </w:rPr>
      </w:pPr>
      <w:r>
        <w:rPr>
          <w:rFonts w:hint="eastAsia"/>
          <w:lang w:val="en-GB"/>
        </w:rPr>
        <w:t>对于</w:t>
      </w:r>
      <w:r>
        <w:rPr>
          <w:lang w:val="en-GB"/>
        </w:rPr>
        <w:t>上海清算所作为标的券托管机构的场景</w:t>
      </w:r>
      <w:r>
        <w:rPr>
          <w:rFonts w:hint="eastAsia"/>
          <w:lang w:val="en-GB"/>
        </w:rPr>
        <w:t>，待借贷双方均在上海清算所综合业务系统客户端完成对该笔跨机构借贷</w:t>
      </w:r>
      <w:r>
        <w:rPr>
          <w:lang w:val="en-GB"/>
        </w:rPr>
        <w:t>成交数据的指令确认操作后</w:t>
      </w:r>
      <w:r>
        <w:rPr>
          <w:rFonts w:hint="eastAsia"/>
          <w:lang w:val="en-GB"/>
        </w:rPr>
        <w:t>，综合业务系统自动向中央结算公司发送成交数据已完成确认的通知报文，该笔成交数据在综合业务系统【清算-本币清算平台-本币全额-全额交易明细管理】界面的【交易状态】从“待确认”变更为“已确认”</w:t>
      </w:r>
      <w:r>
        <w:rPr>
          <w:rStyle w:val="22"/>
          <w:lang w:val="en-GB"/>
        </w:rPr>
        <w:footnoteReference w:id="11"/>
      </w:r>
      <w:r>
        <w:rPr>
          <w:rFonts w:hint="eastAsia"/>
          <w:lang w:val="en-GB"/>
        </w:rPr>
        <w:t>，并</w:t>
      </w:r>
      <w:r>
        <w:rPr>
          <w:rFonts w:hint="eastAsia"/>
          <w:lang w:val="en-GB" w:eastAsia="zh-CN"/>
        </w:rPr>
        <w:t>在</w:t>
      </w:r>
      <w:r>
        <w:rPr>
          <w:rFonts w:hint="eastAsia"/>
          <w:lang w:val="en-GB"/>
        </w:rPr>
        <w:t>【清算-本币清算平台-本币全额-全额结算管理】界面生成该笔跨机构借贷首期结算指令</w:t>
      </w:r>
      <w:r>
        <w:rPr>
          <w:rStyle w:val="22"/>
          <w:lang w:val="en-GB"/>
        </w:rPr>
        <w:footnoteReference w:id="12"/>
      </w:r>
      <w:r>
        <w:rPr>
          <w:rFonts w:hint="eastAsia"/>
          <w:lang w:val="en-GB"/>
        </w:rPr>
        <w:t>。</w:t>
      </w:r>
    </w:p>
    <w:p w14:paraId="361996BD">
      <w:pPr>
        <w:spacing w:line="240" w:lineRule="auto"/>
        <w:ind w:firstLine="0" w:firstLineChars="0"/>
        <w:rPr>
          <w:lang w:val="en-GB"/>
        </w:rPr>
      </w:pPr>
      <w:r>
        <w:rPr>
          <w:snapToGrid/>
        </w:rPr>
        <w:drawing>
          <wp:inline distT="0" distB="0" distL="114300" distR="114300">
            <wp:extent cx="5276215" cy="2868930"/>
            <wp:effectExtent l="0" t="0" r="635" b="762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5"/>
                    <a:stretch>
                      <a:fillRect/>
                    </a:stretch>
                  </pic:blipFill>
                  <pic:spPr>
                    <a:xfrm>
                      <a:off x="0" y="0"/>
                      <a:ext cx="5276215" cy="2868930"/>
                    </a:xfrm>
                    <a:prstGeom prst="rect">
                      <a:avLst/>
                    </a:prstGeom>
                    <a:noFill/>
                    <a:ln>
                      <a:noFill/>
                    </a:ln>
                  </pic:spPr>
                </pic:pic>
              </a:graphicData>
            </a:graphic>
          </wp:inline>
        </w:drawing>
      </w:r>
    </w:p>
    <w:p w14:paraId="350CDA60">
      <w:pPr>
        <w:ind w:firstLine="640"/>
        <w:jc w:val="both"/>
        <w:rPr>
          <w:lang w:val="en-GB"/>
        </w:rPr>
      </w:pPr>
      <w:r>
        <w:rPr>
          <w:rFonts w:hint="eastAsia"/>
          <w:lang w:val="en-GB"/>
        </w:rPr>
        <w:t>首期结算日，若借贷双方尚未在中央结算公司系统完成</w:t>
      </w:r>
      <w:r>
        <w:rPr>
          <w:lang w:val="en-GB"/>
        </w:rPr>
        <w:t>成交数据的指令确认操作</w:t>
      </w:r>
      <w:r>
        <w:rPr>
          <w:rFonts w:hint="eastAsia"/>
          <w:lang w:val="en-GB"/>
        </w:rPr>
        <w:t>，或借贷双方已在中央结算公司系统完成</w:t>
      </w:r>
      <w:r>
        <w:rPr>
          <w:lang w:val="en-GB"/>
        </w:rPr>
        <w:t>成交数据的指令确认操作</w:t>
      </w:r>
      <w:r>
        <w:rPr>
          <w:rFonts w:hint="eastAsia"/>
          <w:lang w:val="en-GB"/>
        </w:rPr>
        <w:t>，</w:t>
      </w:r>
      <w:r>
        <w:rPr>
          <w:lang w:val="en-GB"/>
        </w:rPr>
        <w:t>但因质押券</w:t>
      </w:r>
      <w:r>
        <w:rPr>
          <w:rFonts w:hint="eastAsia"/>
          <w:lang w:val="en-GB"/>
        </w:rPr>
        <w:t>余额</w:t>
      </w:r>
      <w:r>
        <w:rPr>
          <w:lang w:val="en-GB"/>
        </w:rPr>
        <w:t>不足中央结算公司未完成质押券质押操作时</w:t>
      </w:r>
      <w:r>
        <w:rPr>
          <w:rFonts w:hint="eastAsia"/>
          <w:lang w:val="en-GB"/>
        </w:rPr>
        <w:t>，</w:t>
      </w:r>
      <w:r>
        <w:rPr>
          <w:lang w:val="en-GB"/>
        </w:rPr>
        <w:t>上海清算所综合业务系统</w:t>
      </w:r>
      <w:r>
        <w:rPr>
          <w:rFonts w:hint="eastAsia"/>
          <w:lang w:val="en-GB"/>
        </w:rPr>
        <w:t>【清算-本币清算平台-本币全额-全额结算管理】界面中该笔跨机构借贷首期结算指令的【全额结算指令状态】仍为“待确认”，即暂不进行标的券的过户操作。</w:t>
      </w:r>
    </w:p>
    <w:p w14:paraId="33ABD85A">
      <w:pPr>
        <w:spacing w:line="240" w:lineRule="auto"/>
        <w:ind w:firstLine="0" w:firstLineChars="0"/>
        <w:rPr>
          <w:lang w:val="en-GB"/>
        </w:rPr>
      </w:pPr>
      <w:r>
        <w:rPr>
          <w:snapToGrid/>
        </w:rPr>
        <w:drawing>
          <wp:inline distT="0" distB="0" distL="114300" distR="114300">
            <wp:extent cx="5269865" cy="1285875"/>
            <wp:effectExtent l="0" t="0" r="6985" b="952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6"/>
                    <a:srcRect t="56731"/>
                    <a:stretch>
                      <a:fillRect/>
                    </a:stretch>
                  </pic:blipFill>
                  <pic:spPr>
                    <a:xfrm>
                      <a:off x="0" y="0"/>
                      <a:ext cx="5269865" cy="1285875"/>
                    </a:xfrm>
                    <a:prstGeom prst="rect">
                      <a:avLst/>
                    </a:prstGeom>
                    <a:noFill/>
                    <a:ln>
                      <a:noFill/>
                    </a:ln>
                  </pic:spPr>
                </pic:pic>
              </a:graphicData>
            </a:graphic>
          </wp:inline>
        </w:drawing>
      </w:r>
    </w:p>
    <w:p w14:paraId="67AF367D">
      <w:pPr>
        <w:ind w:firstLine="640"/>
        <w:jc w:val="both"/>
        <w:rPr>
          <w:lang w:val="en-GB"/>
        </w:rPr>
      </w:pPr>
      <w:r>
        <w:rPr>
          <w:rFonts w:hint="eastAsia"/>
          <w:lang w:val="en-GB"/>
        </w:rPr>
        <w:t>首期结算日，</w:t>
      </w:r>
      <w:r>
        <w:rPr>
          <w:lang w:val="en-GB"/>
        </w:rPr>
        <w:t>待借贷双方均在中央结算公司</w:t>
      </w:r>
      <w:r>
        <w:rPr>
          <w:rFonts w:hint="eastAsia"/>
          <w:lang w:val="en-GB"/>
        </w:rPr>
        <w:t>（质押券托管机构）</w:t>
      </w:r>
      <w:r>
        <w:rPr>
          <w:lang w:val="en-GB"/>
        </w:rPr>
        <w:t>系统客户端完成</w:t>
      </w:r>
      <w:r>
        <w:rPr>
          <w:rFonts w:hint="eastAsia"/>
          <w:lang w:val="en-GB"/>
        </w:rPr>
        <w:t>该笔跨机构借贷</w:t>
      </w:r>
      <w:r>
        <w:rPr>
          <w:lang w:val="en-GB"/>
        </w:rPr>
        <w:t>成交数据的指令确认操作</w:t>
      </w:r>
      <w:r>
        <w:rPr>
          <w:rFonts w:hint="eastAsia"/>
          <w:lang w:val="en-GB"/>
        </w:rPr>
        <w:t>，且中央结算公司系统成功接收到上海清算所系统推送的成交数据已完成确认的通知报文后，中央结算公司系统检查债券融入方账户质押券足额后完成质押，并通过接口向上海清算所系统发送质押成功结算通知，上海清算所（标的券托管机构）据此办理该标的券过户、质押券（若有）质押操作。</w:t>
      </w:r>
    </w:p>
    <w:p w14:paraId="0E4E685C">
      <w:pPr>
        <w:ind w:firstLine="640"/>
        <w:jc w:val="both"/>
        <w:rPr>
          <w:lang w:val="en-GB"/>
        </w:rPr>
      </w:pPr>
      <w:r>
        <w:rPr>
          <w:rFonts w:hint="eastAsia"/>
          <w:lang w:val="en-GB"/>
        </w:rPr>
        <w:t>待办理标的券足额过户后，上海清算所该笔跨机构借贷首期结算指令的【全额结算指令状态】变更为“成功”，并在综合业务系统【清算-本币清算平台-本币全额-全额结算管理】界面自动生成该笔跨机构借贷到期结算指令</w:t>
      </w:r>
      <w:r>
        <w:rPr>
          <w:rStyle w:val="22"/>
          <w:lang w:val="en-GB"/>
        </w:rPr>
        <w:footnoteReference w:id="13"/>
      </w:r>
      <w:r>
        <w:rPr>
          <w:rFonts w:hint="eastAsia"/>
          <w:lang w:val="en-GB"/>
        </w:rPr>
        <w:t>（【全额结算指令状态】为“待履行”）。</w:t>
      </w:r>
    </w:p>
    <w:p w14:paraId="25A05939">
      <w:pPr>
        <w:ind w:firstLine="0" w:firstLineChars="0"/>
        <w:jc w:val="both"/>
        <w:rPr>
          <w:lang w:val="en-GB"/>
        </w:rPr>
      </w:pPr>
    </w:p>
    <w:p w14:paraId="1807363A">
      <w:pPr>
        <w:spacing w:line="240" w:lineRule="auto"/>
        <w:ind w:firstLine="0" w:firstLineChars="0"/>
        <w:rPr>
          <w:lang w:val="en-GB"/>
        </w:rPr>
      </w:pPr>
      <w:r>
        <w:rPr>
          <w:snapToGrid/>
        </w:rPr>
        <w:drawing>
          <wp:inline distT="0" distB="0" distL="114300" distR="114300">
            <wp:extent cx="5273675" cy="2392680"/>
            <wp:effectExtent l="0" t="0" r="3175" b="762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7"/>
                    <a:stretch>
                      <a:fillRect/>
                    </a:stretch>
                  </pic:blipFill>
                  <pic:spPr>
                    <a:xfrm>
                      <a:off x="0" y="0"/>
                      <a:ext cx="5273675" cy="2392680"/>
                    </a:xfrm>
                    <a:prstGeom prst="rect">
                      <a:avLst/>
                    </a:prstGeom>
                    <a:noFill/>
                    <a:ln>
                      <a:noFill/>
                    </a:ln>
                  </pic:spPr>
                </pic:pic>
              </a:graphicData>
            </a:graphic>
          </wp:inline>
        </w:drawing>
      </w:r>
    </w:p>
    <w:p w14:paraId="3782F65A">
      <w:pPr>
        <w:ind w:firstLine="640"/>
        <w:jc w:val="both"/>
        <w:rPr>
          <w:lang w:val="en-GB"/>
        </w:rPr>
      </w:pPr>
      <w:r>
        <w:rPr>
          <w:lang w:val="en-GB"/>
        </w:rPr>
        <w:t>跨机构借贷到期结算日</w:t>
      </w:r>
      <w:r>
        <w:rPr>
          <w:rFonts w:hint="eastAsia"/>
          <w:lang w:val="en-GB"/>
        </w:rPr>
        <w:t>，上海清算所（</w:t>
      </w:r>
      <w:r>
        <w:rPr>
          <w:lang w:val="en-GB"/>
        </w:rPr>
        <w:t>标的券托管机构</w:t>
      </w:r>
      <w:r>
        <w:rPr>
          <w:rFonts w:hint="eastAsia"/>
          <w:lang w:val="en-GB"/>
        </w:rPr>
        <w:t>）</w:t>
      </w:r>
      <w:r>
        <w:rPr>
          <w:lang w:val="en-GB"/>
        </w:rPr>
        <w:t>自动执行到期结算指令成功后</w:t>
      </w:r>
      <w:r>
        <w:rPr>
          <w:rFonts w:hint="eastAsia"/>
          <w:lang w:val="en-GB"/>
        </w:rPr>
        <w:t>，</w:t>
      </w:r>
      <w:r>
        <w:rPr>
          <w:lang w:val="en-GB"/>
        </w:rPr>
        <w:t>即办理标的券返还</w:t>
      </w:r>
      <w:r>
        <w:rPr>
          <w:rFonts w:hint="eastAsia"/>
          <w:lang w:val="en-GB"/>
        </w:rPr>
        <w:t>、</w:t>
      </w:r>
      <w:r>
        <w:rPr>
          <w:lang w:val="en-GB"/>
        </w:rPr>
        <w:t>借贷资金划付</w:t>
      </w:r>
      <w:r>
        <w:rPr>
          <w:rFonts w:hint="eastAsia"/>
          <w:lang w:val="en-GB"/>
        </w:rPr>
        <w:t>、</w:t>
      </w:r>
      <w:r>
        <w:rPr>
          <w:lang w:val="en-GB"/>
        </w:rPr>
        <w:t>质押券</w:t>
      </w:r>
      <w:r>
        <w:rPr>
          <w:rFonts w:hint="eastAsia"/>
          <w:lang w:val="en-GB"/>
        </w:rPr>
        <w:t>（若有）解押成功后，该笔跨机构借贷到期结算指令在综合业务系统【清算-本币清算平台-本币全额-全额结算管理】界面的【全额结算指令状态】变更为“成功”，并向中央结算公司发送质押券解押通知，中央结算公司据此办理质押券的解押操作。</w:t>
      </w:r>
    </w:p>
    <w:p w14:paraId="1BA36B6F">
      <w:pPr>
        <w:spacing w:line="240" w:lineRule="auto"/>
        <w:ind w:firstLine="0" w:firstLineChars="0"/>
        <w:rPr>
          <w:lang w:val="en-GB"/>
        </w:rPr>
      </w:pPr>
      <w:r>
        <w:rPr>
          <w:snapToGrid/>
        </w:rPr>
        <w:drawing>
          <wp:inline distT="0" distB="0" distL="114300" distR="114300">
            <wp:extent cx="5273040" cy="2153920"/>
            <wp:effectExtent l="0" t="0" r="3810" b="1778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8"/>
                    <a:stretch>
                      <a:fillRect/>
                    </a:stretch>
                  </pic:blipFill>
                  <pic:spPr>
                    <a:xfrm>
                      <a:off x="0" y="0"/>
                      <a:ext cx="5273040" cy="2153920"/>
                    </a:xfrm>
                    <a:prstGeom prst="rect">
                      <a:avLst/>
                    </a:prstGeom>
                    <a:noFill/>
                    <a:ln>
                      <a:noFill/>
                    </a:ln>
                  </pic:spPr>
                </pic:pic>
              </a:graphicData>
            </a:graphic>
          </wp:inline>
        </w:drawing>
      </w:r>
    </w:p>
    <w:p w14:paraId="2FE68892">
      <w:pPr>
        <w:ind w:firstLine="640"/>
        <w:jc w:val="both"/>
        <w:rPr>
          <w:snapToGrid/>
        </w:rPr>
      </w:pPr>
      <w:r>
        <w:rPr>
          <w:rFonts w:hint="eastAsia"/>
          <w:lang w:val="en-GB"/>
        </w:rPr>
        <w:t>截至到期结算日17:00，若上海清算所债券融入方账户标的券余额或借贷费不足额的，则到期结算失败，上海清算所向中央结算公司发送结算失败结果通知，中央结算公司不办理质押券解押操作。</w:t>
      </w:r>
    </w:p>
    <w:p w14:paraId="6FB0F219">
      <w:pPr>
        <w:pStyle w:val="33"/>
        <w:ind w:firstLine="640"/>
      </w:pPr>
      <w:r>
        <w:br w:type="page"/>
      </w:r>
      <w:bookmarkStart w:id="23" w:name="_Toc1098288090"/>
      <w:bookmarkStart w:id="24" w:name="_Toc1937534228"/>
      <w:r>
        <w:t>1.</w:t>
      </w:r>
      <w:bookmarkEnd w:id="15"/>
      <w:r>
        <w:t>3.3跨机构借贷</w:t>
      </w:r>
      <w:r>
        <w:rPr>
          <w:rFonts w:hint="eastAsia"/>
        </w:rPr>
        <w:t>存续期业务办理方式</w:t>
      </w:r>
      <w:bookmarkEnd w:id="16"/>
      <w:bookmarkEnd w:id="23"/>
      <w:bookmarkEnd w:id="24"/>
    </w:p>
    <w:p w14:paraId="3DD4BC7D">
      <w:pPr>
        <w:ind w:firstLine="640"/>
        <w:jc w:val="both"/>
      </w:pPr>
      <w:r>
        <w:rPr>
          <w:rFonts w:hint="eastAsia"/>
          <w:highlight w:val="none"/>
        </w:rPr>
        <w:t>对于在跨机构借贷自动化结算业务上线前（2</w:t>
      </w:r>
      <w:r>
        <w:rPr>
          <w:highlight w:val="none"/>
        </w:rPr>
        <w:t>026年</w:t>
      </w:r>
      <w:r>
        <w:rPr>
          <w:rFonts w:hint="eastAsia"/>
          <w:highlight w:val="none"/>
          <w:lang w:val="en-US" w:eastAsia="zh-CN"/>
        </w:rPr>
        <w:t>7</w:t>
      </w:r>
      <w:r>
        <w:rPr>
          <w:rFonts w:hint="eastAsia"/>
          <w:highlight w:val="none"/>
        </w:rPr>
        <w:t>月</w:t>
      </w:r>
      <w:r>
        <w:rPr>
          <w:rFonts w:hint="eastAsia"/>
          <w:highlight w:val="none"/>
          <w:lang w:val="en-US" w:eastAsia="zh-CN"/>
        </w:rPr>
        <w:t>17</w:t>
      </w:r>
      <w:r>
        <w:rPr>
          <w:rFonts w:hint="eastAsia"/>
          <w:highlight w:val="none"/>
        </w:rPr>
        <w:t>日当日或之前）已达成交易但尚未完成首期或到期结算的跨机构借贷存续业务</w:t>
      </w:r>
      <w:r>
        <w:rPr>
          <w:rFonts w:hint="eastAsia"/>
        </w:rPr>
        <w:t>，借贷双方仍按照《全国银行间债券市场跨托管机构债券借贷（人工处理）业务规则》（中债字〔2015〕48号文印发）有关流程要求办理。</w:t>
      </w:r>
    </w:p>
    <w:p w14:paraId="092F44FD">
      <w:pPr>
        <w:ind w:firstLine="640"/>
        <w:jc w:val="both"/>
      </w:pPr>
      <w:r>
        <w:rPr>
          <w:rFonts w:hint="eastAsia"/>
        </w:rPr>
        <w:t>例如，若上海清算所作为跨机构借贷标的券托管机构，对于存续业务的到期结算，借贷双方仍需向上海清算所提交《跨托管机构债券借贷业务到期结算申请书》</w:t>
      </w:r>
      <w:r>
        <w:rPr>
          <w:rStyle w:val="22"/>
        </w:rPr>
        <w:footnoteReference w:id="14"/>
      </w:r>
      <w:r>
        <w:rPr>
          <w:rFonts w:hint="eastAsia"/>
        </w:rPr>
        <w:t>；对于存续业务的到期现金交割，借贷双方仍需向上海清算所提交《跨托管机构债券借贷业务现金交割申请书》</w:t>
      </w:r>
      <w:r>
        <w:rPr>
          <w:rStyle w:val="22"/>
        </w:rPr>
        <w:footnoteReference w:id="15"/>
      </w:r>
      <w:r>
        <w:rPr>
          <w:rFonts w:hint="eastAsia"/>
        </w:rPr>
        <w:t>。</w:t>
      </w:r>
    </w:p>
    <w:p w14:paraId="61F0FF26">
      <w:pPr>
        <w:pStyle w:val="32"/>
        <w:keepNext w:val="0"/>
        <w:keepLines w:val="0"/>
        <w:widowControl/>
        <w:topLinePunct/>
        <w:ind w:firstLine="640"/>
        <w:rPr>
          <w:b w:val="0"/>
          <w:bCs w:val="0"/>
        </w:rPr>
      </w:pPr>
      <w:bookmarkStart w:id="25" w:name="_Toc1587570218"/>
      <w:bookmarkStart w:id="26" w:name="_Toc222618077"/>
      <w:bookmarkStart w:id="27" w:name="_Toc847637555"/>
      <w:r>
        <w:rPr>
          <w:b w:val="0"/>
          <w:bCs w:val="0"/>
        </w:rPr>
        <w:t>1.4</w:t>
      </w:r>
      <w:r>
        <w:rPr>
          <w:rFonts w:hint="eastAsia"/>
          <w:b w:val="0"/>
          <w:bCs w:val="0"/>
        </w:rPr>
        <w:t>上海清算所客服联系信息</w:t>
      </w:r>
      <w:bookmarkEnd w:id="25"/>
      <w:bookmarkEnd w:id="26"/>
      <w:bookmarkEnd w:id="27"/>
    </w:p>
    <w:p w14:paraId="3B7AF966">
      <w:pPr>
        <w:ind w:firstLine="643"/>
        <w:rPr>
          <w:b/>
        </w:rPr>
      </w:pPr>
      <w:r>
        <w:rPr>
          <w:rFonts w:hint="eastAsia"/>
          <w:b/>
        </w:rPr>
        <w:t>客户服务中心联系电话（负责日常业务问题解答）：</w:t>
      </w:r>
    </w:p>
    <w:p w14:paraId="41BD9789">
      <w:pPr>
        <w:ind w:firstLine="640"/>
      </w:pPr>
      <w:r>
        <w:t>400-820-0002</w:t>
      </w:r>
    </w:p>
    <w:p w14:paraId="57A16780">
      <w:pPr>
        <w:ind w:firstLine="0" w:firstLineChars="0"/>
      </w:pPr>
    </w:p>
    <w:p w14:paraId="46F4F786">
      <w:pPr>
        <w:ind w:firstLine="0" w:firstLineChars="0"/>
      </w:pPr>
    </w:p>
    <w:p w14:paraId="25B992AD">
      <w:pPr>
        <w:ind w:firstLine="0" w:firstLineChars="0"/>
      </w:pPr>
    </w:p>
    <w:p w14:paraId="162F7AC3">
      <w:pPr>
        <w:pStyle w:val="31"/>
        <w:keepNext w:val="0"/>
        <w:keepLines w:val="0"/>
        <w:widowControl/>
        <w:topLinePunct/>
      </w:pPr>
      <w:r>
        <w:br w:type="page"/>
      </w:r>
      <w:bookmarkStart w:id="28" w:name="_Toc222618078"/>
      <w:bookmarkStart w:id="29" w:name="_Toc1894297233"/>
      <w:bookmarkStart w:id="30" w:name="_Toc185516976"/>
      <w:bookmarkStart w:id="31" w:name="_Toc129621326"/>
      <w:bookmarkStart w:id="32" w:name="_Toc1084569389"/>
      <w:r>
        <w:rPr>
          <w:rFonts w:hint="eastAsia"/>
        </w:rPr>
        <w:t>第二章 业务操作</w:t>
      </w:r>
      <w:bookmarkEnd w:id="28"/>
      <w:bookmarkEnd w:id="29"/>
      <w:bookmarkEnd w:id="30"/>
      <w:bookmarkEnd w:id="31"/>
      <w:bookmarkEnd w:id="32"/>
    </w:p>
    <w:p w14:paraId="36A26842">
      <w:pPr>
        <w:pStyle w:val="32"/>
        <w:keepNext w:val="0"/>
        <w:keepLines w:val="0"/>
        <w:widowControl/>
        <w:topLinePunct/>
        <w:ind w:firstLine="640"/>
        <w:rPr>
          <w:b w:val="0"/>
          <w:bCs w:val="0"/>
          <w:lang w:val="en-US"/>
        </w:rPr>
      </w:pPr>
      <w:bookmarkStart w:id="33" w:name="_Toc129621327"/>
      <w:bookmarkStart w:id="34" w:name="_Toc185516977"/>
      <w:bookmarkStart w:id="35" w:name="_Toc1001246384"/>
      <w:bookmarkStart w:id="36" w:name="_Toc222618079"/>
      <w:bookmarkStart w:id="37" w:name="_Toc1132266735"/>
      <w:r>
        <w:rPr>
          <w:b w:val="0"/>
          <w:bCs w:val="0"/>
        </w:rPr>
        <w:t>2.1</w:t>
      </w:r>
      <w:bookmarkEnd w:id="33"/>
      <w:bookmarkEnd w:id="34"/>
      <w:r>
        <w:rPr>
          <w:bCs w:val="0"/>
        </w:rPr>
        <w:t>借贷</w:t>
      </w:r>
      <w:r>
        <w:rPr>
          <w:rFonts w:hint="eastAsia"/>
          <w:b w:val="0"/>
          <w:bCs w:val="0"/>
          <w:lang w:val="en-US"/>
        </w:rPr>
        <w:t>成交数据指令确认操作步骤</w:t>
      </w:r>
      <w:bookmarkEnd w:id="35"/>
      <w:bookmarkEnd w:id="36"/>
      <w:bookmarkEnd w:id="37"/>
    </w:p>
    <w:p w14:paraId="4C2D821B">
      <w:pPr>
        <w:ind w:firstLine="640"/>
        <w:jc w:val="both"/>
        <w:rPr>
          <w:lang w:val="en-GB"/>
        </w:rPr>
      </w:pPr>
      <w:r>
        <w:rPr>
          <w:rFonts w:hint="eastAsia"/>
          <w:lang w:val="en-GB"/>
        </w:rPr>
        <w:t>借贷双方需登录上海清算所综合业务系统客户端对外汇交易中心成交数据进行指令确认后，该笔债券借贷进入后续结算流程。其中，</w:t>
      </w:r>
      <w:r>
        <w:rPr>
          <w:lang w:val="en-GB"/>
        </w:rPr>
        <w:t>对于跨机构借贷</w:t>
      </w:r>
      <w:r>
        <w:rPr>
          <w:rFonts w:hint="eastAsia"/>
          <w:lang w:val="en-GB"/>
        </w:rPr>
        <w:t>，</w:t>
      </w:r>
      <w:r>
        <w:rPr>
          <w:lang w:val="en-GB"/>
        </w:rPr>
        <w:t>借贷双方须在</w:t>
      </w:r>
      <w:r>
        <w:rPr>
          <w:rFonts w:hint="eastAsia"/>
          <w:lang w:val="en-GB"/>
        </w:rPr>
        <w:t>中央结算公司系统和上海清算所系统对跨机构借贷成交数据进行确认后才能进入后续结算流程。相关操作步骤如下：</w:t>
      </w:r>
    </w:p>
    <w:p w14:paraId="05884EEF">
      <w:pPr>
        <w:ind w:firstLine="640"/>
        <w:jc w:val="both"/>
        <w:rPr>
          <w:lang w:val="en-GB"/>
        </w:rPr>
      </w:pPr>
      <w:r>
        <w:rPr>
          <w:lang w:val="en-GB"/>
        </w:rPr>
        <w:t>借贷双方均需指定自身某一系统</w:t>
      </w:r>
      <w:r>
        <w:rPr>
          <w:rFonts w:hint="eastAsia"/>
          <w:lang w:val="en-GB"/>
        </w:rPr>
        <w:t>操作员登录上海清算所综合业务系统客户端，进入【清算-本币清算平台-本币全额-交易操作管理】界面，选中该笔待确认的债券借贷成交数据，点击【交易确认】按钮，在新弹出的【确认交易】界面中“确认状态”选择“确认通过”，选择完成后点击【提交】按钮，提交后综合业务系统立即完成对该笔债券借贷成交数据的指令确认操作，借贷双方无需更换另一系统操作员对上述操作进行复核。</w:t>
      </w:r>
    </w:p>
    <w:p w14:paraId="527AA26E">
      <w:pPr>
        <w:spacing w:line="240" w:lineRule="auto"/>
        <w:ind w:firstLine="0" w:firstLineChars="0"/>
        <w:rPr>
          <w:lang w:val="en-GB"/>
        </w:rPr>
      </w:pPr>
      <w:r>
        <w:rPr>
          <w:snapToGrid/>
        </w:rPr>
        <w:drawing>
          <wp:inline distT="0" distB="0" distL="114300" distR="114300">
            <wp:extent cx="5275580" cy="2154555"/>
            <wp:effectExtent l="0" t="0" r="1270" b="1714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9"/>
                    <a:stretch>
                      <a:fillRect/>
                    </a:stretch>
                  </pic:blipFill>
                  <pic:spPr>
                    <a:xfrm>
                      <a:off x="0" y="0"/>
                      <a:ext cx="5275580" cy="2154555"/>
                    </a:xfrm>
                    <a:prstGeom prst="rect">
                      <a:avLst/>
                    </a:prstGeom>
                    <a:noFill/>
                    <a:ln>
                      <a:noFill/>
                    </a:ln>
                  </pic:spPr>
                </pic:pic>
              </a:graphicData>
            </a:graphic>
          </wp:inline>
        </w:drawing>
      </w:r>
    </w:p>
    <w:p w14:paraId="2690298B">
      <w:pPr>
        <w:spacing w:line="240" w:lineRule="auto"/>
        <w:ind w:firstLine="0" w:firstLineChars="0"/>
        <w:rPr>
          <w:lang w:val="en-GB"/>
        </w:rPr>
      </w:pPr>
      <w:r>
        <w:rPr>
          <w:snapToGrid/>
        </w:rPr>
        <w:drawing>
          <wp:inline distT="0" distB="0" distL="114300" distR="114300">
            <wp:extent cx="5255260" cy="3146425"/>
            <wp:effectExtent l="0" t="0" r="2540" b="1587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0"/>
                    <a:stretch>
                      <a:fillRect/>
                    </a:stretch>
                  </pic:blipFill>
                  <pic:spPr>
                    <a:xfrm>
                      <a:off x="0" y="0"/>
                      <a:ext cx="5255260" cy="3146425"/>
                    </a:xfrm>
                    <a:prstGeom prst="rect">
                      <a:avLst/>
                    </a:prstGeom>
                    <a:noFill/>
                    <a:ln>
                      <a:noFill/>
                    </a:ln>
                  </pic:spPr>
                </pic:pic>
              </a:graphicData>
            </a:graphic>
          </wp:inline>
        </w:drawing>
      </w:r>
    </w:p>
    <w:p w14:paraId="635750AF">
      <w:pPr>
        <w:spacing w:line="240" w:lineRule="auto"/>
        <w:ind w:firstLine="0" w:firstLineChars="0"/>
        <w:rPr>
          <w:lang w:val="en-GB"/>
        </w:rPr>
      </w:pPr>
      <w:r>
        <w:rPr>
          <w:snapToGrid/>
        </w:rPr>
        <w:drawing>
          <wp:inline distT="0" distB="0" distL="114300" distR="114300">
            <wp:extent cx="5278755" cy="2282825"/>
            <wp:effectExtent l="0" t="0" r="17145" b="317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21"/>
                    <a:stretch>
                      <a:fillRect/>
                    </a:stretch>
                  </pic:blipFill>
                  <pic:spPr>
                    <a:xfrm>
                      <a:off x="0" y="0"/>
                      <a:ext cx="5278755" cy="2282825"/>
                    </a:xfrm>
                    <a:prstGeom prst="rect">
                      <a:avLst/>
                    </a:prstGeom>
                    <a:noFill/>
                    <a:ln>
                      <a:noFill/>
                    </a:ln>
                  </pic:spPr>
                </pic:pic>
              </a:graphicData>
            </a:graphic>
          </wp:inline>
        </w:drawing>
      </w:r>
    </w:p>
    <w:p w14:paraId="44250661">
      <w:pPr>
        <w:ind w:firstLine="640"/>
        <w:jc w:val="both"/>
        <w:rPr>
          <w:lang w:val="en-GB"/>
        </w:rPr>
      </w:pPr>
      <w:r>
        <w:rPr>
          <w:rFonts w:hint="eastAsia"/>
          <w:lang w:val="en-GB"/>
        </w:rPr>
        <w:t>借贷双方在上海清算所综合业务系统对成交指令进行指令确认操作的截止时间为首期结算日17:00。截至首期结算日日终，若借贷双方未在上海清算所系统完成成交数据指令确认操作，或上海清算所未收到中央结算公司推送的跨机构借贷“结算双方指令确认结果”报文，上海清算所综合业务系统【清算-本币清算平台-本币全额-全额交易明细管理】界面中该笔成交数据的“交易状态”将从“待确认”变更为“作废”，且不会在系统中生成该笔债券借贷首期结算指令。</w:t>
      </w:r>
    </w:p>
    <w:p w14:paraId="754A6BE1">
      <w:pPr>
        <w:pStyle w:val="32"/>
        <w:keepNext w:val="0"/>
        <w:keepLines w:val="0"/>
        <w:widowControl/>
        <w:topLinePunct/>
        <w:ind w:firstLine="640"/>
        <w:rPr>
          <w:b w:val="0"/>
          <w:bCs w:val="0"/>
        </w:rPr>
      </w:pPr>
      <w:bookmarkStart w:id="38" w:name="_Toc222618080"/>
      <w:bookmarkStart w:id="39" w:name="_Toc1941634841"/>
      <w:bookmarkStart w:id="40" w:name="_Toc380746183"/>
      <w:r>
        <w:rPr>
          <w:b w:val="0"/>
          <w:bCs w:val="0"/>
        </w:rPr>
        <w:t>2.2</w:t>
      </w:r>
      <w:r>
        <w:rPr>
          <w:bCs w:val="0"/>
        </w:rPr>
        <w:t>借贷</w:t>
      </w:r>
      <w:r>
        <w:rPr>
          <w:rFonts w:hint="eastAsia"/>
          <w:b w:val="0"/>
          <w:bCs w:val="0"/>
        </w:rPr>
        <w:t>质押券置换操作步骤</w:t>
      </w:r>
      <w:bookmarkEnd w:id="38"/>
      <w:bookmarkEnd w:id="39"/>
      <w:bookmarkEnd w:id="40"/>
    </w:p>
    <w:p w14:paraId="682CC338">
      <w:pPr>
        <w:ind w:firstLine="640"/>
        <w:jc w:val="both"/>
      </w:pPr>
      <w:r>
        <w:rPr>
          <w:rFonts w:hint="eastAsia"/>
          <w:lang w:val="en-GB"/>
        </w:rPr>
        <w:t>债券</w:t>
      </w:r>
      <w:r>
        <w:rPr>
          <w:rFonts w:hint="eastAsia"/>
        </w:rPr>
        <w:t>借贷存续期间（不含到期结算日当日），借贷双方协商一致需对质押券进行置换的，债券融入方应先登录上海清算所综合业务系统提交质押券置换指令并对其进行复核，再由债券融出方登录综合业务系统客户端对相关质押券置换指令进行确认。相关操作步骤如下：</w:t>
      </w:r>
    </w:p>
    <w:p w14:paraId="3B8235B9">
      <w:pPr>
        <w:pStyle w:val="33"/>
        <w:ind w:firstLine="640"/>
      </w:pPr>
      <w:bookmarkStart w:id="41" w:name="_Toc239735027"/>
      <w:bookmarkStart w:id="42" w:name="_Toc222618081"/>
      <w:bookmarkStart w:id="43" w:name="_Toc210497183"/>
      <w:r>
        <w:rPr>
          <w:rFonts w:hint="eastAsia"/>
        </w:rPr>
        <w:t>2</w:t>
      </w:r>
      <w:r>
        <w:t>.2</w:t>
      </w:r>
      <w:r>
        <w:rPr>
          <w:rFonts w:hint="eastAsia"/>
        </w:rPr>
        <w:t>.1债券融入方提交及复核质押券置换操作</w:t>
      </w:r>
      <w:bookmarkEnd w:id="41"/>
      <w:bookmarkEnd w:id="42"/>
      <w:bookmarkEnd w:id="43"/>
    </w:p>
    <w:p w14:paraId="492913E7">
      <w:pPr>
        <w:ind w:firstLine="640"/>
        <w:jc w:val="both"/>
      </w:pPr>
      <w:r>
        <w:rPr>
          <w:rFonts w:hint="eastAsia"/>
        </w:rPr>
        <w:t>债券融入方系统操作员登录综合业务系统【清算-本币清算平台-本币全额-全额结算操作管理】界面，选中该笔拟进行质押券置换的债券借贷到期结算指令后，再点击【抵押品调整】按钮，可对相关质押券进行置换。</w:t>
      </w:r>
    </w:p>
    <w:p w14:paraId="5475DD5D">
      <w:pPr>
        <w:spacing w:line="240" w:lineRule="auto"/>
        <w:ind w:firstLine="0" w:firstLineChars="0"/>
        <w:jc w:val="both"/>
      </w:pPr>
      <w:r>
        <w:rPr>
          <w:snapToGrid/>
        </w:rPr>
        <w:drawing>
          <wp:inline distT="0" distB="0" distL="114300" distR="114300">
            <wp:extent cx="5274310" cy="1856105"/>
            <wp:effectExtent l="0" t="0" r="2540" b="1079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22"/>
                    <a:srcRect t="3465"/>
                    <a:stretch>
                      <a:fillRect/>
                    </a:stretch>
                  </pic:blipFill>
                  <pic:spPr>
                    <a:xfrm>
                      <a:off x="0" y="0"/>
                      <a:ext cx="5274310" cy="1856105"/>
                    </a:xfrm>
                    <a:prstGeom prst="rect">
                      <a:avLst/>
                    </a:prstGeom>
                    <a:noFill/>
                    <a:ln>
                      <a:noFill/>
                    </a:ln>
                  </pic:spPr>
                </pic:pic>
              </a:graphicData>
            </a:graphic>
          </wp:inline>
        </w:drawing>
      </w:r>
    </w:p>
    <w:p w14:paraId="14D0D30A">
      <w:pPr>
        <w:ind w:firstLine="640"/>
        <w:jc w:val="both"/>
      </w:pPr>
      <w:r>
        <w:rPr>
          <w:rFonts w:hint="eastAsia"/>
        </w:rPr>
        <w:t>债券融入方更换另一系统操作员登录综合业务系统【统一复核-统一复核服务-复核任务管理】界面对上述质押券置换指令进行复核。</w:t>
      </w:r>
    </w:p>
    <w:p w14:paraId="765B4DDD">
      <w:pPr>
        <w:spacing w:line="240" w:lineRule="auto"/>
        <w:ind w:firstLine="0" w:firstLineChars="0"/>
        <w:jc w:val="both"/>
      </w:pPr>
      <w:r>
        <w:rPr>
          <w:snapToGrid/>
        </w:rPr>
        <w:drawing>
          <wp:inline distT="0" distB="0" distL="114300" distR="114300">
            <wp:extent cx="5171440" cy="1644650"/>
            <wp:effectExtent l="0" t="0" r="10160" b="1270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23"/>
                    <a:srcRect t="4639" b="4639"/>
                    <a:stretch>
                      <a:fillRect/>
                    </a:stretch>
                  </pic:blipFill>
                  <pic:spPr>
                    <a:xfrm>
                      <a:off x="0" y="0"/>
                      <a:ext cx="5171440" cy="1644650"/>
                    </a:xfrm>
                    <a:prstGeom prst="rect">
                      <a:avLst/>
                    </a:prstGeom>
                    <a:noFill/>
                    <a:ln>
                      <a:noFill/>
                    </a:ln>
                  </pic:spPr>
                </pic:pic>
              </a:graphicData>
            </a:graphic>
          </wp:inline>
        </w:drawing>
      </w:r>
    </w:p>
    <w:p w14:paraId="3D5F256F">
      <w:pPr>
        <w:pStyle w:val="33"/>
        <w:ind w:firstLine="640"/>
      </w:pPr>
      <w:bookmarkStart w:id="44" w:name="_Toc222618082"/>
      <w:bookmarkStart w:id="45" w:name="_Toc620363603"/>
      <w:bookmarkStart w:id="46" w:name="_Toc1126846901"/>
      <w:r>
        <w:rPr>
          <w:rFonts w:hint="eastAsia"/>
        </w:rPr>
        <w:t>2</w:t>
      </w:r>
      <w:r>
        <w:t>.2</w:t>
      </w:r>
      <w:r>
        <w:rPr>
          <w:rFonts w:hint="eastAsia"/>
        </w:rPr>
        <w:t>.</w:t>
      </w:r>
      <w:r>
        <w:t>2</w:t>
      </w:r>
      <w:r>
        <w:rPr>
          <w:rFonts w:hint="eastAsia"/>
        </w:rPr>
        <w:t>债券融出方对质押券置换操作进行确认</w:t>
      </w:r>
      <w:bookmarkEnd w:id="44"/>
      <w:bookmarkEnd w:id="45"/>
      <w:bookmarkEnd w:id="46"/>
    </w:p>
    <w:p w14:paraId="0D183E98">
      <w:pPr>
        <w:ind w:firstLine="640"/>
        <w:jc w:val="both"/>
      </w:pPr>
      <w:r>
        <w:rPr>
          <w:rFonts w:hint="eastAsia"/>
        </w:rPr>
        <w:t>债券融出方系统操作员登录综合业务系统【清算-本币清算平台-本币全额-全额结算确认管理】界面，选中债券融入方所提交</w:t>
      </w:r>
      <w:r>
        <w:t>的</w:t>
      </w:r>
      <w:r>
        <w:rPr>
          <w:rFonts w:hint="eastAsia"/>
        </w:rPr>
        <w:t>指令类型为“抵押品调整”的指令后，点击【查看详情】按钮，核查质押券置换信息无误后，再点击【结算确认】按钮，在新弹出的【结算确认】界面中“确认状态”选择“确认通过”，选择完成后点击【提交】按钮，即可完成对该笔债券融入方所发起质押券置换指令的确认操作。</w:t>
      </w:r>
    </w:p>
    <w:p w14:paraId="1F518E5D">
      <w:pPr>
        <w:spacing w:line="240" w:lineRule="auto"/>
        <w:ind w:firstLine="0" w:firstLineChars="0"/>
      </w:pPr>
      <w:r>
        <w:rPr>
          <w:snapToGrid/>
        </w:rPr>
        <w:drawing>
          <wp:inline distT="0" distB="0" distL="114300" distR="114300">
            <wp:extent cx="5274310" cy="2287270"/>
            <wp:effectExtent l="0" t="0" r="2540" b="1778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24"/>
                    <a:stretch>
                      <a:fillRect/>
                    </a:stretch>
                  </pic:blipFill>
                  <pic:spPr>
                    <a:xfrm>
                      <a:off x="0" y="0"/>
                      <a:ext cx="5274310" cy="2287270"/>
                    </a:xfrm>
                    <a:prstGeom prst="rect">
                      <a:avLst/>
                    </a:prstGeom>
                    <a:noFill/>
                    <a:ln>
                      <a:noFill/>
                    </a:ln>
                  </pic:spPr>
                </pic:pic>
              </a:graphicData>
            </a:graphic>
          </wp:inline>
        </w:drawing>
      </w:r>
    </w:p>
    <w:p w14:paraId="7E366CE6">
      <w:pPr>
        <w:spacing w:line="240" w:lineRule="auto"/>
        <w:ind w:firstLine="0" w:firstLineChars="0"/>
      </w:pPr>
      <w:r>
        <w:rPr>
          <w:snapToGrid/>
        </w:rPr>
        <w:drawing>
          <wp:inline distT="0" distB="0" distL="114300" distR="114300">
            <wp:extent cx="5296535" cy="2285365"/>
            <wp:effectExtent l="0" t="0" r="18415" b="63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25"/>
                    <a:stretch>
                      <a:fillRect/>
                    </a:stretch>
                  </pic:blipFill>
                  <pic:spPr>
                    <a:xfrm>
                      <a:off x="0" y="0"/>
                      <a:ext cx="5296535" cy="2285365"/>
                    </a:xfrm>
                    <a:prstGeom prst="rect">
                      <a:avLst/>
                    </a:prstGeom>
                    <a:noFill/>
                    <a:ln>
                      <a:noFill/>
                    </a:ln>
                  </pic:spPr>
                </pic:pic>
              </a:graphicData>
            </a:graphic>
          </wp:inline>
        </w:drawing>
      </w:r>
    </w:p>
    <w:p w14:paraId="09C54DF7">
      <w:pPr>
        <w:pStyle w:val="32"/>
        <w:keepNext w:val="0"/>
        <w:keepLines w:val="0"/>
        <w:widowControl/>
        <w:topLinePunct/>
        <w:ind w:firstLine="640"/>
        <w:rPr>
          <w:b w:val="0"/>
          <w:bCs w:val="0"/>
        </w:rPr>
      </w:pPr>
      <w:r>
        <w:br w:type="page"/>
      </w:r>
      <w:bookmarkStart w:id="47" w:name="_Toc222618083"/>
      <w:bookmarkStart w:id="48" w:name="_Toc770317487"/>
      <w:bookmarkStart w:id="49" w:name="_Toc1260511721"/>
      <w:r>
        <w:rPr>
          <w:b w:val="0"/>
          <w:bCs w:val="0"/>
        </w:rPr>
        <w:t>2.3</w:t>
      </w:r>
      <w:r>
        <w:rPr>
          <w:bCs w:val="0"/>
        </w:rPr>
        <w:t>借贷</w:t>
      </w:r>
      <w:r>
        <w:rPr>
          <w:b w:val="0"/>
          <w:bCs w:val="0"/>
        </w:rPr>
        <w:t>到期现金交割</w:t>
      </w:r>
      <w:r>
        <w:rPr>
          <w:rFonts w:hint="eastAsia"/>
          <w:b w:val="0"/>
          <w:bCs w:val="0"/>
        </w:rPr>
        <w:t>操作</w:t>
      </w:r>
      <w:bookmarkEnd w:id="47"/>
      <w:r>
        <w:rPr>
          <w:bCs w:val="0"/>
        </w:rPr>
        <w:t>步骤</w:t>
      </w:r>
      <w:bookmarkEnd w:id="48"/>
      <w:bookmarkEnd w:id="49"/>
    </w:p>
    <w:p w14:paraId="53EAB3CF">
      <w:pPr>
        <w:ind w:firstLine="640"/>
        <w:jc w:val="both"/>
      </w:pPr>
      <w:r>
        <w:rPr>
          <w:rFonts w:hint="eastAsia"/>
        </w:rPr>
        <w:t>借贷双方协商一致后，在借贷到期结算日前一工作日17:00之前，可登录上海清算所综合业务系统客户端办理债券借贷到期现金交割。对于跨机构借贷，仅当上海清算所作为该笔跨机构借贷对应标的券托管机构时，借贷双方可在借贷到期结算日前一工作日17:00之前，登录上海清算所综合业务系统客户端办理跨机构借贷到期现金交割。现金交割指令可由借贷双方任一方发起及复核，借贷另一方确认后生效。</w:t>
      </w:r>
    </w:p>
    <w:p w14:paraId="0A6FDEAD">
      <w:pPr>
        <w:ind w:firstLine="640"/>
        <w:jc w:val="both"/>
      </w:pPr>
      <w:r>
        <w:rPr>
          <w:rFonts w:hint="eastAsia"/>
        </w:rPr>
        <w:t>现金交割指令被借贷双方任一方发起并复核后，借贷对手方系统操作员需对其进行结算确认，确认通过后生成指令类型为“到期（现金交割-逆回购方/融入方付款）”的新指令，新指令债券明细中不再包含借贷券，结算金额为双方协商一致的划付金额。相关操作步骤如下：</w:t>
      </w:r>
    </w:p>
    <w:p w14:paraId="70AB075A">
      <w:pPr>
        <w:pStyle w:val="33"/>
        <w:ind w:firstLine="640"/>
      </w:pPr>
      <w:bookmarkStart w:id="50" w:name="_Toc222618084"/>
      <w:bookmarkStart w:id="51" w:name="_Toc1974444081"/>
      <w:bookmarkStart w:id="52" w:name="_Toc229664069"/>
      <w:bookmarkStart w:id="53" w:name="_Toc229664012"/>
      <w:bookmarkStart w:id="54" w:name="_Toc222733646"/>
      <w:r>
        <w:rPr>
          <w:rFonts w:hint="eastAsia"/>
        </w:rPr>
        <w:t>2</w:t>
      </w:r>
      <w:r>
        <w:t>.3.1</w:t>
      </w:r>
      <w:r>
        <w:rPr>
          <w:rFonts w:hint="eastAsia"/>
        </w:rPr>
        <w:t>现金交割指令的提交及复核操作</w:t>
      </w:r>
      <w:bookmarkEnd w:id="50"/>
      <w:bookmarkEnd w:id="51"/>
      <w:bookmarkEnd w:id="52"/>
      <w:bookmarkEnd w:id="53"/>
      <w:bookmarkEnd w:id="54"/>
    </w:p>
    <w:p w14:paraId="35F985C7">
      <w:pPr>
        <w:ind w:firstLine="640"/>
        <w:jc w:val="both"/>
      </w:pPr>
      <w:r>
        <w:rPr>
          <w:rFonts w:hint="eastAsia"/>
          <w:lang w:val="en-GB"/>
        </w:rPr>
        <w:t>借贷</w:t>
      </w:r>
      <w:r>
        <w:rPr>
          <w:rFonts w:hint="eastAsia"/>
        </w:rPr>
        <w:t>双方任一方系统操作员登录综合业务系统【清算-本币清算平台-本币全额-全额结算操作管理】界面，选中需进行现金交割的债券借贷或跨机构借贷到期结算指令，点击【现金交割】按钮，在新弹出的【现金交割】界面，对</w:t>
      </w:r>
      <w:r>
        <w:rPr>
          <w:rFonts w:hint="eastAsia"/>
          <w:highlight w:val="none"/>
        </w:rPr>
        <w:t>结算方式</w:t>
      </w:r>
      <w:r>
        <w:rPr>
          <w:rStyle w:val="22"/>
          <w:highlight w:val="none"/>
        </w:rPr>
        <w:footnoteReference w:id="16"/>
      </w:r>
      <w:r>
        <w:rPr>
          <w:rFonts w:hint="eastAsia"/>
          <w:highlight w:val="none"/>
        </w:rPr>
        <w:t>、</w:t>
      </w:r>
      <w:r>
        <w:rPr>
          <w:rFonts w:hint="eastAsia"/>
        </w:rPr>
        <w:t>结算金额进行修改后点击【提交】按钮。</w:t>
      </w:r>
    </w:p>
    <w:p w14:paraId="11BC43BE">
      <w:pPr>
        <w:spacing w:line="240" w:lineRule="auto"/>
        <w:ind w:firstLine="0" w:firstLineChars="0"/>
        <w:jc w:val="both"/>
      </w:pPr>
      <w:r>
        <w:drawing>
          <wp:inline distT="0" distB="0" distL="0" distR="0">
            <wp:extent cx="5274310" cy="2202815"/>
            <wp:effectExtent l="0" t="0" r="2540" b="6985"/>
            <wp:docPr id="21" name="图片 21" descr="C:\Users\Public\Nwt\cache\recv\何松洋\新建文件夹\截图\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Public\Nwt\cache\recv\何松洋\新建文件夹\截图\1-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274310" cy="2203029"/>
                    </a:xfrm>
                    <a:prstGeom prst="rect">
                      <a:avLst/>
                    </a:prstGeom>
                    <a:noFill/>
                    <a:ln>
                      <a:noFill/>
                    </a:ln>
                  </pic:spPr>
                </pic:pic>
              </a:graphicData>
            </a:graphic>
          </wp:inline>
        </w:drawing>
      </w:r>
    </w:p>
    <w:p w14:paraId="78DEBEDD">
      <w:pPr>
        <w:spacing w:line="240" w:lineRule="auto"/>
        <w:ind w:firstLine="0" w:firstLineChars="0"/>
        <w:jc w:val="both"/>
      </w:pPr>
      <w:r>
        <w:drawing>
          <wp:inline distT="0" distB="0" distL="0" distR="0">
            <wp:extent cx="5274310" cy="2946400"/>
            <wp:effectExtent l="0" t="0" r="2540" b="6350"/>
            <wp:docPr id="22" name="图片 22" descr="C:\Users\Public\Nwt\cache\recv\何松洋\新建文件夹\截图\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Public\Nwt\cache\recv\何松洋\新建文件夹\截图\2-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74310" cy="2946600"/>
                    </a:xfrm>
                    <a:prstGeom prst="rect">
                      <a:avLst/>
                    </a:prstGeom>
                    <a:noFill/>
                    <a:ln>
                      <a:noFill/>
                    </a:ln>
                  </pic:spPr>
                </pic:pic>
              </a:graphicData>
            </a:graphic>
          </wp:inline>
        </w:drawing>
      </w:r>
    </w:p>
    <w:p w14:paraId="51200DF2">
      <w:pPr>
        <w:ind w:firstLine="640"/>
        <w:jc w:val="both"/>
      </w:pPr>
      <w:r>
        <w:rPr>
          <w:rFonts w:hint="eastAsia"/>
        </w:rPr>
        <w:t>已提交现金交割指令的借贷一方更换另一系统操作员登录综合业务系统【统一复核-统一复核服务-复核任务管理】界面完成对其所提交现金交割的复核操作。</w:t>
      </w:r>
    </w:p>
    <w:p w14:paraId="5BE1039F">
      <w:pPr>
        <w:spacing w:line="240" w:lineRule="auto"/>
        <w:ind w:firstLine="0" w:firstLineChars="0"/>
        <w:jc w:val="both"/>
      </w:pPr>
      <w:r>
        <w:drawing>
          <wp:inline distT="0" distB="0" distL="0" distR="0">
            <wp:extent cx="5274310" cy="1831975"/>
            <wp:effectExtent l="0" t="0" r="2540" b="0"/>
            <wp:docPr id="24" name="图片 24" descr="C:\Users\Public\Nwt\cache\recv\何松洋\新建文件夹\截图\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Public\Nwt\cache\recv\何松洋\新建文件夹\截图\3-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274310" cy="1832363"/>
                    </a:xfrm>
                    <a:prstGeom prst="rect">
                      <a:avLst/>
                    </a:prstGeom>
                    <a:noFill/>
                    <a:ln>
                      <a:noFill/>
                    </a:ln>
                  </pic:spPr>
                </pic:pic>
              </a:graphicData>
            </a:graphic>
          </wp:inline>
        </w:drawing>
      </w:r>
    </w:p>
    <w:p w14:paraId="79B646D4">
      <w:pPr>
        <w:pStyle w:val="33"/>
        <w:ind w:firstLine="640"/>
      </w:pPr>
      <w:bookmarkStart w:id="55" w:name="_Toc1704747760"/>
      <w:bookmarkStart w:id="56" w:name="_Toc222733647"/>
      <w:bookmarkStart w:id="57" w:name="_Toc222618085"/>
      <w:r>
        <w:rPr>
          <w:rFonts w:hint="eastAsia"/>
        </w:rPr>
        <w:t>2</w:t>
      </w:r>
      <w:r>
        <w:t>.3.2</w:t>
      </w:r>
      <w:r>
        <w:rPr>
          <w:rFonts w:hint="eastAsia"/>
        </w:rPr>
        <w:t>现金交割指令的确认操作</w:t>
      </w:r>
      <w:bookmarkEnd w:id="55"/>
      <w:bookmarkEnd w:id="56"/>
      <w:bookmarkEnd w:id="57"/>
    </w:p>
    <w:p w14:paraId="6307D94B">
      <w:pPr>
        <w:ind w:firstLine="640"/>
        <w:jc w:val="both"/>
      </w:pPr>
      <w:r>
        <w:rPr>
          <w:rFonts w:hint="eastAsia"/>
        </w:rPr>
        <w:t>借贷对手方系统操作员登录综合业务系统【清算-本币清算平台-本币全额-全额结算确认管理】界面，选中该笔待确认、指令类型为“现金交割”的指令后，点击【查看详情】按钮对相关现金交割指令信息进行核对无误后再进行确认操作，即点击【结算确认】按钮后，在新弹出的【结算确认】界面中“确认状态”选择“确认通过”或“确认拒绝”，选择完成后点击【提交】按钮，即可完成对该笔债券借贷/跨机构借贷现金交割的确认通过或确认拒绝操作。</w:t>
      </w:r>
    </w:p>
    <w:p w14:paraId="537A3CC6">
      <w:pPr>
        <w:spacing w:line="240" w:lineRule="auto"/>
        <w:ind w:firstLine="0" w:firstLineChars="0"/>
        <w:jc w:val="both"/>
      </w:pPr>
      <w:r>
        <w:drawing>
          <wp:inline distT="0" distB="0" distL="0" distR="0">
            <wp:extent cx="5274310" cy="1958340"/>
            <wp:effectExtent l="0" t="0" r="2540" b="3810"/>
            <wp:docPr id="25" name="图片 25" descr="C:\Users\Public\Nwt\cache\recv\何松洋\新建文件夹\截图\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Public\Nwt\cache\recv\何松洋\新建文件夹\截图\4-1.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274310" cy="1958692"/>
                    </a:xfrm>
                    <a:prstGeom prst="rect">
                      <a:avLst/>
                    </a:prstGeom>
                    <a:noFill/>
                    <a:ln>
                      <a:noFill/>
                    </a:ln>
                  </pic:spPr>
                </pic:pic>
              </a:graphicData>
            </a:graphic>
          </wp:inline>
        </w:drawing>
      </w:r>
    </w:p>
    <w:p w14:paraId="22184979">
      <w:pPr>
        <w:spacing w:line="240" w:lineRule="auto"/>
        <w:ind w:firstLine="0" w:firstLineChars="0"/>
        <w:jc w:val="both"/>
      </w:pPr>
      <w:r>
        <w:drawing>
          <wp:inline distT="0" distB="0" distL="0" distR="0">
            <wp:extent cx="5274310" cy="2321560"/>
            <wp:effectExtent l="0" t="0" r="2540" b="2540"/>
            <wp:docPr id="26" name="图片 26" descr="C:\Users\Public\Nwt\cache\recv\何松洋\新建文件夹\截图\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Public\Nwt\cache\recv\何松洋\新建文件夹\截图\5-1.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5274310" cy="2321937"/>
                    </a:xfrm>
                    <a:prstGeom prst="rect">
                      <a:avLst/>
                    </a:prstGeom>
                    <a:noFill/>
                    <a:ln>
                      <a:noFill/>
                    </a:ln>
                  </pic:spPr>
                </pic:pic>
              </a:graphicData>
            </a:graphic>
          </wp:inline>
        </w:drawing>
      </w:r>
    </w:p>
    <w:p w14:paraId="7E4EA82A">
      <w:pPr>
        <w:ind w:firstLine="640"/>
        <w:jc w:val="both"/>
      </w:pPr>
      <w:r>
        <w:br w:type="page"/>
      </w:r>
    </w:p>
    <w:p w14:paraId="3D25E021">
      <w:pPr>
        <w:pStyle w:val="32"/>
        <w:keepNext w:val="0"/>
        <w:keepLines w:val="0"/>
        <w:widowControl/>
        <w:topLinePunct/>
        <w:ind w:firstLine="640"/>
        <w:rPr>
          <w:b w:val="0"/>
          <w:bCs w:val="0"/>
        </w:rPr>
      </w:pPr>
      <w:bookmarkStart w:id="58" w:name="_Toc222618086"/>
      <w:bookmarkStart w:id="59" w:name="_Toc937548649"/>
      <w:bookmarkStart w:id="60" w:name="_Toc322556360"/>
      <w:r>
        <w:rPr>
          <w:b w:val="0"/>
          <w:bCs w:val="0"/>
        </w:rPr>
        <w:t>2.4</w:t>
      </w:r>
      <w:r>
        <w:rPr>
          <w:bCs w:val="0"/>
        </w:rPr>
        <w:t>借贷</w:t>
      </w:r>
      <w:r>
        <w:rPr>
          <w:b w:val="0"/>
          <w:bCs w:val="0"/>
        </w:rPr>
        <w:t>到期</w:t>
      </w:r>
      <w:r>
        <w:rPr>
          <w:rFonts w:hint="eastAsia"/>
          <w:b w:val="0"/>
          <w:bCs w:val="0"/>
        </w:rPr>
        <w:t>提前</w:t>
      </w:r>
      <w:r>
        <w:rPr>
          <w:b w:val="0"/>
          <w:bCs w:val="0"/>
        </w:rPr>
        <w:t>终止</w:t>
      </w:r>
      <w:r>
        <w:rPr>
          <w:rFonts w:hint="eastAsia"/>
          <w:b w:val="0"/>
          <w:bCs w:val="0"/>
        </w:rPr>
        <w:t>操作要求</w:t>
      </w:r>
      <w:bookmarkEnd w:id="58"/>
      <w:bookmarkEnd w:id="59"/>
      <w:bookmarkEnd w:id="60"/>
    </w:p>
    <w:p w14:paraId="4DB13B27">
      <w:pPr>
        <w:ind w:firstLine="640"/>
        <w:jc w:val="both"/>
      </w:pPr>
      <w:r>
        <w:rPr>
          <w:rFonts w:hint="eastAsia"/>
        </w:rPr>
        <w:t>若发生借贷交易主协议相关条款认定的终止事件，借贷双方协商一致后，不晚于计划提前终止结算日前3个工作日中午12:00之前</w:t>
      </w:r>
      <w:r>
        <w:rPr>
          <w:rFonts w:hint="eastAsia"/>
          <w:lang w:eastAsia="zh-CN"/>
        </w:rPr>
        <w:t>，通过电子邮件方式</w:t>
      </w:r>
      <w:r>
        <w:rPr>
          <w:rFonts w:hint="eastAsia"/>
        </w:rPr>
        <w:t>向上海清算所运营部清算团队提交《债券借贷到期提前终止申请表》（附件</w:t>
      </w:r>
      <w:r>
        <w:rPr>
          <w:rFonts w:hint="eastAsia"/>
          <w:lang w:val="en-US" w:eastAsia="zh-CN"/>
        </w:rPr>
        <w:t>1</w:t>
      </w:r>
      <w:r>
        <w:rPr>
          <w:rFonts w:hint="eastAsia"/>
        </w:rPr>
        <w:t>）PDF格式电子盖章扫描件等材料办理提前终止业务。</w:t>
      </w:r>
    </w:p>
    <w:p w14:paraId="0B66AF7F">
      <w:pPr>
        <w:ind w:firstLine="640"/>
        <w:jc w:val="both"/>
      </w:pPr>
      <w:r>
        <w:rPr>
          <w:rFonts w:hint="eastAsia"/>
        </w:rPr>
        <w:t>对于跨机构借贷，仅当上海清算所作为该笔跨机构借贷对应标的券托管机构时，上海清算所负责接收借贷双方所提交的《债券借贷到期提前终止申请表》PDF格式盖章扫描件。</w:t>
      </w:r>
    </w:p>
    <w:p w14:paraId="2E30AF8E">
      <w:pPr>
        <w:ind w:firstLine="640" w:firstLineChars="0"/>
        <w:jc w:val="both"/>
      </w:pPr>
      <w:r>
        <w:rPr>
          <w:rFonts w:hint="eastAsia"/>
        </w:rPr>
        <w:t>上海清算所运营部清算团队接收《债券借贷到期提前终止申请表》的电子邮箱：fund@shclearing.com.cn。</w:t>
      </w:r>
    </w:p>
    <w:p w14:paraId="4C40AC44">
      <w:pPr>
        <w:pStyle w:val="32"/>
        <w:keepNext w:val="0"/>
        <w:keepLines w:val="0"/>
        <w:widowControl/>
        <w:topLinePunct/>
        <w:ind w:firstLine="640"/>
        <w:rPr>
          <w:b w:val="0"/>
          <w:bCs w:val="0"/>
        </w:rPr>
      </w:pPr>
      <w:r>
        <w:br w:type="page"/>
      </w:r>
      <w:bookmarkStart w:id="61" w:name="_Toc222618087"/>
      <w:bookmarkStart w:id="62" w:name="_Toc1681175832"/>
      <w:bookmarkStart w:id="63" w:name="_Toc1738289467"/>
      <w:r>
        <w:rPr>
          <w:b w:val="0"/>
          <w:bCs w:val="0"/>
        </w:rPr>
        <w:t>2.5</w:t>
      </w:r>
      <w:r>
        <w:rPr>
          <w:bCs w:val="0"/>
        </w:rPr>
        <w:t>借贷</w:t>
      </w:r>
      <w:r>
        <w:rPr>
          <w:rFonts w:hint="eastAsia"/>
          <w:b w:val="0"/>
          <w:bCs w:val="0"/>
        </w:rPr>
        <w:t>到期逾期返售操作</w:t>
      </w:r>
      <w:r>
        <w:rPr>
          <w:bCs w:val="0"/>
        </w:rPr>
        <w:t>步骤</w:t>
      </w:r>
      <w:bookmarkEnd w:id="61"/>
      <w:bookmarkEnd w:id="62"/>
      <w:bookmarkEnd w:id="63"/>
    </w:p>
    <w:p w14:paraId="46927B57">
      <w:pPr>
        <w:ind w:firstLine="640"/>
        <w:jc w:val="both"/>
      </w:pPr>
      <w:r>
        <w:rPr>
          <w:rFonts w:hint="eastAsia"/>
        </w:rPr>
        <w:t>自债券借贷到期结算失败后次1工作日起，借贷双方可自行通过上海清算所综合业务系统客户端对已结算失败的到期结算指令发起逾期返售。逾期返售可由借贷双方任一方发起，系统操作员可对本方或本方代理机构的已结算失败的到期结算指令发起逾期返售。一方系统操作员发起后，由本方另一系统操作员对逾期返售指令进行复核。相关逾期返售指令被借贷双方任一方发起并复核后，借贷对手方系统操作员需对其进行结算确认，确认通过后生成指令类型为“到期（逾期返售）”的新指令。</w:t>
      </w:r>
    </w:p>
    <w:p w14:paraId="138C0DBD">
      <w:pPr>
        <w:ind w:firstLine="640"/>
        <w:jc w:val="both"/>
      </w:pPr>
      <w:r>
        <w:rPr>
          <w:rFonts w:hint="eastAsia"/>
        </w:rPr>
        <w:t>对于跨机构借贷，仅当上海清算所作为该笔跨机构借贷对应标的券托管机构时，待借贷双方登录综合业务系统客户端成功发起并完成到期逾期返售指令结算流程后，</w:t>
      </w:r>
      <w:r>
        <w:t>借贷双方需在</w:t>
      </w:r>
      <w:r>
        <w:rPr>
          <w:rFonts w:hint="eastAsia"/>
        </w:rPr>
        <w:t>逾期返售指令结算成功当日中午12:00前通过电子邮件将《跨托管机构债券借贷到期逾期返售申请表》（附件</w:t>
      </w:r>
      <w:r>
        <w:t>3</w:t>
      </w:r>
      <w:r>
        <w:rPr>
          <w:rFonts w:hint="eastAsia"/>
        </w:rPr>
        <w:t>），以及相关到期逾期返售指令已成功结算的业务单据（即综合业务系统自动生成的《跨托管机构债券借贷到期结算完成通知单》）发送上海清算所运营部清算团队指定邮箱，即fund@shclearing.com.cn。上海清算所在到期逾期返售结算当日将借贷双方相关材料发送中央结算公司，办理质押券的后续处理。</w:t>
      </w:r>
    </w:p>
    <w:p w14:paraId="3072A645">
      <w:pPr>
        <w:ind w:firstLine="640"/>
        <w:jc w:val="both"/>
      </w:pPr>
      <w:r>
        <w:rPr>
          <w:rFonts w:hint="eastAsia"/>
        </w:rPr>
        <w:t>若上海清算所作为跨机构借贷质押券托管机构，上海清算所将根据中央结算公司关于质押券或对应资金处置数量的通知及转发的申请材料办理跨机构借贷到期结算失败后的相关处置，借贷双方无需向上海清算所（质押券托管机构）提交相关材料。若仅涉及质押券的解押，上海清算所根据中央结算公司指令并通过逾期返售方式完成相关质押券的解押操作。</w:t>
      </w:r>
    </w:p>
    <w:p w14:paraId="67F9D9C5">
      <w:pPr>
        <w:pStyle w:val="33"/>
        <w:ind w:firstLine="640"/>
      </w:pPr>
      <w:bookmarkStart w:id="64" w:name="_Toc222618088"/>
      <w:bookmarkStart w:id="65" w:name="_Toc503611731"/>
      <w:bookmarkStart w:id="66" w:name="_Toc1602984306"/>
      <w:r>
        <w:rPr>
          <w:rFonts w:hint="eastAsia"/>
        </w:rPr>
        <w:t>2</w:t>
      </w:r>
      <w:r>
        <w:t>.5.1逾期返售</w:t>
      </w:r>
      <w:r>
        <w:rPr>
          <w:rFonts w:hint="eastAsia"/>
        </w:rPr>
        <w:t>指令的提交及复核操作</w:t>
      </w:r>
      <w:bookmarkEnd w:id="64"/>
      <w:bookmarkEnd w:id="65"/>
      <w:bookmarkEnd w:id="66"/>
    </w:p>
    <w:p w14:paraId="223B70CD">
      <w:pPr>
        <w:ind w:firstLine="640"/>
        <w:jc w:val="both"/>
      </w:pPr>
      <w:r>
        <w:rPr>
          <w:rFonts w:hint="eastAsia"/>
        </w:rPr>
        <w:t>借贷双方任一方系统操作员登录综合业务系统【清算-本币清算平台-本币全额-全额结算操作管理】界面，选中需进行逾期返售的债券借贷到期结算指令，点击【逾期返售】按钮，在新弹出的【逾期返售】界面，可对结算金额进行修改后，点击【提交】按钮。</w:t>
      </w:r>
    </w:p>
    <w:p w14:paraId="69075386">
      <w:pPr>
        <w:spacing w:line="240" w:lineRule="auto"/>
        <w:ind w:firstLine="0" w:firstLineChars="0"/>
      </w:pPr>
      <w:r>
        <w:rPr>
          <w:snapToGrid/>
        </w:rPr>
        <w:drawing>
          <wp:inline distT="0" distB="0" distL="114300" distR="114300">
            <wp:extent cx="5271135" cy="2767965"/>
            <wp:effectExtent l="0" t="0" r="5715" b="1333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31"/>
                    <a:stretch>
                      <a:fillRect/>
                    </a:stretch>
                  </pic:blipFill>
                  <pic:spPr>
                    <a:xfrm>
                      <a:off x="0" y="0"/>
                      <a:ext cx="5271135" cy="2767965"/>
                    </a:xfrm>
                    <a:prstGeom prst="rect">
                      <a:avLst/>
                    </a:prstGeom>
                    <a:noFill/>
                    <a:ln>
                      <a:noFill/>
                    </a:ln>
                  </pic:spPr>
                </pic:pic>
              </a:graphicData>
            </a:graphic>
          </wp:inline>
        </w:drawing>
      </w:r>
    </w:p>
    <w:p w14:paraId="58CD0B38">
      <w:pPr>
        <w:spacing w:line="240" w:lineRule="auto"/>
        <w:ind w:firstLine="0" w:firstLineChars="0"/>
      </w:pPr>
      <w:r>
        <w:rPr>
          <w:snapToGrid/>
        </w:rPr>
        <w:drawing>
          <wp:inline distT="0" distB="0" distL="114300" distR="114300">
            <wp:extent cx="5271770" cy="1616075"/>
            <wp:effectExtent l="0" t="0" r="5080" b="317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32"/>
                    <a:stretch>
                      <a:fillRect/>
                    </a:stretch>
                  </pic:blipFill>
                  <pic:spPr>
                    <a:xfrm>
                      <a:off x="0" y="0"/>
                      <a:ext cx="5271770" cy="1616075"/>
                    </a:xfrm>
                    <a:prstGeom prst="rect">
                      <a:avLst/>
                    </a:prstGeom>
                    <a:noFill/>
                    <a:ln>
                      <a:noFill/>
                    </a:ln>
                  </pic:spPr>
                </pic:pic>
              </a:graphicData>
            </a:graphic>
          </wp:inline>
        </w:drawing>
      </w:r>
    </w:p>
    <w:p w14:paraId="26DDFA7C">
      <w:pPr>
        <w:spacing w:line="240" w:lineRule="auto"/>
        <w:ind w:firstLine="0" w:firstLineChars="0"/>
        <w:jc w:val="both"/>
      </w:pPr>
      <w:r>
        <w:drawing>
          <wp:inline distT="0" distB="0" distL="114300" distR="114300">
            <wp:extent cx="5271135" cy="2928620"/>
            <wp:effectExtent l="0" t="0" r="5715" b="5080"/>
            <wp:docPr id="1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5"/>
                    <pic:cNvPicPr>
                      <a:picLocks noChangeAspect="1"/>
                    </pic:cNvPicPr>
                  </pic:nvPicPr>
                  <pic:blipFill>
                    <a:blip r:embed="rId33"/>
                    <a:stretch>
                      <a:fillRect/>
                    </a:stretch>
                  </pic:blipFill>
                  <pic:spPr>
                    <a:xfrm>
                      <a:off x="0" y="0"/>
                      <a:ext cx="5271135" cy="2928620"/>
                    </a:xfrm>
                    <a:prstGeom prst="rect">
                      <a:avLst/>
                    </a:prstGeom>
                    <a:noFill/>
                    <a:ln>
                      <a:noFill/>
                    </a:ln>
                  </pic:spPr>
                </pic:pic>
              </a:graphicData>
            </a:graphic>
          </wp:inline>
        </w:drawing>
      </w:r>
    </w:p>
    <w:p w14:paraId="60CC0DDF">
      <w:pPr>
        <w:ind w:firstLine="640"/>
        <w:jc w:val="both"/>
      </w:pPr>
      <w:r>
        <w:rPr>
          <w:rFonts w:hint="eastAsia"/>
        </w:rPr>
        <w:t>已提交逾期返售指令的借贷一方更换另一系统操作员登录综合业务系统【统一复核-统一复核服务-复核任务管理】界面完成对其所提交逾期返售的复核操作。</w:t>
      </w:r>
    </w:p>
    <w:p w14:paraId="65908A54">
      <w:pPr>
        <w:spacing w:line="240" w:lineRule="auto"/>
        <w:ind w:firstLine="0" w:firstLineChars="0"/>
        <w:jc w:val="both"/>
        <w:rPr>
          <w:snapToGrid/>
        </w:rPr>
      </w:pPr>
      <w:r>
        <w:rPr>
          <w:snapToGrid/>
        </w:rPr>
        <w:drawing>
          <wp:inline distT="0" distB="0" distL="114300" distR="114300">
            <wp:extent cx="5255260" cy="1849120"/>
            <wp:effectExtent l="0" t="0" r="2540" b="1778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34"/>
                    <a:stretch>
                      <a:fillRect/>
                    </a:stretch>
                  </pic:blipFill>
                  <pic:spPr>
                    <a:xfrm>
                      <a:off x="0" y="0"/>
                      <a:ext cx="5255260" cy="1849120"/>
                    </a:xfrm>
                    <a:prstGeom prst="rect">
                      <a:avLst/>
                    </a:prstGeom>
                    <a:noFill/>
                    <a:ln>
                      <a:noFill/>
                    </a:ln>
                  </pic:spPr>
                </pic:pic>
              </a:graphicData>
            </a:graphic>
          </wp:inline>
        </w:drawing>
      </w:r>
    </w:p>
    <w:p w14:paraId="1A6F4617">
      <w:pPr>
        <w:spacing w:line="240" w:lineRule="auto"/>
        <w:ind w:firstLine="0" w:firstLineChars="0"/>
        <w:jc w:val="both"/>
      </w:pPr>
      <w:r>
        <w:rPr>
          <w:snapToGrid/>
        </w:rPr>
        <w:drawing>
          <wp:inline distT="0" distB="0" distL="114300" distR="114300">
            <wp:extent cx="5161915" cy="2860675"/>
            <wp:effectExtent l="0" t="0" r="635" b="1587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35"/>
                    <a:stretch>
                      <a:fillRect/>
                    </a:stretch>
                  </pic:blipFill>
                  <pic:spPr>
                    <a:xfrm>
                      <a:off x="0" y="0"/>
                      <a:ext cx="5161915" cy="2860675"/>
                    </a:xfrm>
                    <a:prstGeom prst="rect">
                      <a:avLst/>
                    </a:prstGeom>
                    <a:noFill/>
                    <a:ln>
                      <a:noFill/>
                    </a:ln>
                  </pic:spPr>
                </pic:pic>
              </a:graphicData>
            </a:graphic>
          </wp:inline>
        </w:drawing>
      </w:r>
    </w:p>
    <w:p w14:paraId="06915C85">
      <w:pPr>
        <w:pStyle w:val="33"/>
        <w:ind w:firstLine="640"/>
      </w:pPr>
      <w:bookmarkStart w:id="67" w:name="_Toc1913863308"/>
      <w:bookmarkStart w:id="68" w:name="_Toc222618089"/>
      <w:bookmarkStart w:id="69" w:name="_Toc2024835184"/>
      <w:r>
        <w:rPr>
          <w:rFonts w:hint="eastAsia"/>
        </w:rPr>
        <w:t>2</w:t>
      </w:r>
      <w:r>
        <w:t>.5.2</w:t>
      </w:r>
      <w:r>
        <w:rPr>
          <w:rFonts w:hint="eastAsia"/>
        </w:rPr>
        <w:t>逾期返售指令的确认操作</w:t>
      </w:r>
      <w:bookmarkEnd w:id="67"/>
      <w:bookmarkEnd w:id="68"/>
      <w:bookmarkEnd w:id="69"/>
    </w:p>
    <w:p w14:paraId="25180C66">
      <w:pPr>
        <w:ind w:firstLine="640"/>
        <w:jc w:val="both"/>
      </w:pPr>
      <w:r>
        <w:rPr>
          <w:rFonts w:hint="eastAsia"/>
        </w:rPr>
        <w:t>借贷对手方系统操作员登录综合业务系统【清算-本币清算平台-本币全额-全额结算确认管理】界面，选中该笔待确认、指令类型为“逾期返售”的指令后，点击【查看详情】按钮，对相关逾期返售指令信息进行核对无误后再进行确认操作，即点击【结算确认】按钮后，在新弹出的【结算确认】界面中，“确认状态”选择“确认通过”或“确认拒绝”，选择完成后点击【提交】按钮，即可完成对该笔债券借贷逾期返售的确认通过或确认拒绝操作。</w:t>
      </w:r>
    </w:p>
    <w:p w14:paraId="230788EA">
      <w:pPr>
        <w:spacing w:line="240" w:lineRule="auto"/>
        <w:ind w:firstLine="0" w:firstLineChars="0"/>
      </w:pPr>
      <w:r>
        <w:rPr>
          <w:snapToGrid/>
        </w:rPr>
        <w:drawing>
          <wp:inline distT="0" distB="0" distL="114300" distR="114300">
            <wp:extent cx="5271770" cy="1950720"/>
            <wp:effectExtent l="0" t="0" r="5080" b="1143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36"/>
                    <a:stretch>
                      <a:fillRect/>
                    </a:stretch>
                  </pic:blipFill>
                  <pic:spPr>
                    <a:xfrm>
                      <a:off x="0" y="0"/>
                      <a:ext cx="5271770" cy="1950720"/>
                    </a:xfrm>
                    <a:prstGeom prst="rect">
                      <a:avLst/>
                    </a:prstGeom>
                    <a:noFill/>
                    <a:ln>
                      <a:noFill/>
                    </a:ln>
                  </pic:spPr>
                </pic:pic>
              </a:graphicData>
            </a:graphic>
          </wp:inline>
        </w:drawing>
      </w:r>
    </w:p>
    <w:p w14:paraId="6D7B7261">
      <w:pPr>
        <w:ind w:firstLine="0" w:firstLineChars="0"/>
      </w:pPr>
    </w:p>
    <w:p w14:paraId="1609DC68">
      <w:pPr>
        <w:spacing w:line="240" w:lineRule="auto"/>
        <w:ind w:firstLine="0" w:firstLineChars="0"/>
      </w:pPr>
      <w:r>
        <w:drawing>
          <wp:inline distT="0" distB="0" distL="114300" distR="114300">
            <wp:extent cx="5269865" cy="2286000"/>
            <wp:effectExtent l="0" t="0" r="6985" b="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37"/>
                    <a:stretch>
                      <a:fillRect/>
                    </a:stretch>
                  </pic:blipFill>
                  <pic:spPr>
                    <a:xfrm>
                      <a:off x="0" y="0"/>
                      <a:ext cx="5269865" cy="2286000"/>
                    </a:xfrm>
                    <a:prstGeom prst="rect">
                      <a:avLst/>
                    </a:prstGeom>
                    <a:noFill/>
                    <a:ln>
                      <a:noFill/>
                    </a:ln>
                  </pic:spPr>
                </pic:pic>
              </a:graphicData>
            </a:graphic>
          </wp:inline>
        </w:drawing>
      </w:r>
    </w:p>
    <w:p w14:paraId="5233DF93">
      <w:pPr>
        <w:ind w:firstLine="0" w:firstLineChars="0"/>
      </w:pPr>
    </w:p>
    <w:p w14:paraId="3EBCA233">
      <w:pPr>
        <w:ind w:firstLine="0" w:firstLineChars="0"/>
      </w:pPr>
    </w:p>
    <w:p w14:paraId="05BD2D76">
      <w:pPr>
        <w:ind w:firstLine="0" w:firstLineChars="0"/>
      </w:pPr>
    </w:p>
    <w:p w14:paraId="689F780D">
      <w:pPr>
        <w:ind w:firstLine="0" w:firstLineChars="0"/>
      </w:pPr>
    </w:p>
    <w:p w14:paraId="1EC2C39B">
      <w:pPr>
        <w:pStyle w:val="31"/>
        <w:keepNext w:val="0"/>
        <w:keepLines w:val="0"/>
        <w:widowControl/>
        <w:topLinePunct/>
      </w:pPr>
      <w:r>
        <w:br w:type="page"/>
      </w:r>
      <w:bookmarkStart w:id="70" w:name="_Toc1267040925"/>
      <w:bookmarkStart w:id="71" w:name="_Toc656556237"/>
      <w:bookmarkStart w:id="72" w:name="_Toc222618090"/>
      <w:r>
        <w:rPr>
          <w:rFonts w:hint="eastAsia"/>
        </w:rPr>
        <w:t>第三章 业务应急</w:t>
      </w:r>
      <w:bookmarkEnd w:id="70"/>
      <w:bookmarkEnd w:id="71"/>
      <w:bookmarkEnd w:id="72"/>
    </w:p>
    <w:p w14:paraId="57EB5C50">
      <w:pPr>
        <w:ind w:firstLine="640"/>
        <w:jc w:val="both"/>
      </w:pPr>
      <w:r>
        <w:rPr>
          <w:rFonts w:hint="eastAsia"/>
        </w:rPr>
        <w:t>因网络、系统或其他原因，借贷双方任一方无法及时通过综合业务系统客户端完成借贷成交数据指令确认、质押券置换指令发起及确认操作、到期现金交割指令发起或确认操作、到期逾期返售指令发起及确认操作的，应不晚于操作当日16:3</w:t>
      </w:r>
      <w:r>
        <w:t>0</w:t>
      </w:r>
      <w:r>
        <w:rPr>
          <w:rFonts w:hint="eastAsia"/>
        </w:rPr>
        <w:t>通过电子邮件方式将相关应急指令书PDF格式盖章（加盖公章或预留印鉴）扫描件发送至上海清算所运营部，申请通过业务应急方式由上海清算所代理其完成相关操作。</w:t>
      </w:r>
    </w:p>
    <w:p w14:paraId="1FD8F389">
      <w:pPr>
        <w:ind w:firstLine="640"/>
        <w:jc w:val="both"/>
      </w:pPr>
      <w:r>
        <w:rPr>
          <w:rFonts w:hint="eastAsia"/>
        </w:rPr>
        <w:t>其中，对于上述相关指令发起操作的业务应急需借贷双方共同盖章，并由其中一方及时通过电子邮件方式将相关应急指令书PDF格式盖章扫描件发送至上海清算所运营部。对于上述相关指令被成功发起后，在指令确认环节需要业务应急的场景，由无法通过综合业务系统客户端完成指令确认操作的借贷一方加盖自身公章或预留</w:t>
      </w:r>
      <w:r>
        <w:rPr>
          <w:rFonts w:hint="eastAsia"/>
          <w:lang w:eastAsia="zh-CN"/>
        </w:rPr>
        <w:t>的结算业务</w:t>
      </w:r>
      <w:r>
        <w:rPr>
          <w:rFonts w:hint="eastAsia"/>
        </w:rPr>
        <w:t>印鉴章</w:t>
      </w:r>
      <w:r>
        <w:rPr>
          <w:rStyle w:val="22"/>
        </w:rPr>
        <w:footnoteReference w:id="17"/>
      </w:r>
      <w:r>
        <w:rPr>
          <w:rFonts w:hint="eastAsia"/>
        </w:rPr>
        <w:t>后，通过电子邮件方式将相关业务应急指令书PDF格式盖章扫描件发送至上海清算所运营部。各类业务应急的</w:t>
      </w:r>
      <w:r>
        <w:rPr>
          <w:rFonts w:hint="eastAsia"/>
          <w:lang w:eastAsia="zh-CN"/>
        </w:rPr>
        <w:t>具体</w:t>
      </w:r>
      <w:r>
        <w:rPr>
          <w:rFonts w:hint="eastAsia"/>
        </w:rPr>
        <w:t>要求概述如下：</w:t>
      </w:r>
    </w:p>
    <w:p w14:paraId="4182864E">
      <w:pPr>
        <w:pStyle w:val="32"/>
        <w:keepNext w:val="0"/>
        <w:keepLines w:val="0"/>
        <w:widowControl/>
        <w:topLinePunct/>
        <w:ind w:firstLine="640"/>
        <w:rPr>
          <w:b w:val="0"/>
          <w:bCs w:val="0"/>
          <w:lang w:val="en-US"/>
        </w:rPr>
      </w:pPr>
      <w:bookmarkStart w:id="73" w:name="_Toc887146256"/>
      <w:bookmarkStart w:id="74" w:name="_Toc357880753"/>
      <w:r>
        <w:rPr>
          <w:b w:val="0"/>
          <w:bCs w:val="0"/>
        </w:rPr>
        <w:t>3.1</w:t>
      </w:r>
      <w:r>
        <w:rPr>
          <w:bCs w:val="0"/>
        </w:rPr>
        <w:t>借贷</w:t>
      </w:r>
      <w:r>
        <w:rPr>
          <w:rFonts w:hint="eastAsia"/>
          <w:b w:val="0"/>
          <w:bCs w:val="0"/>
          <w:lang w:val="en-US"/>
        </w:rPr>
        <w:t>成交数据指令确认操作应急</w:t>
      </w:r>
      <w:bookmarkEnd w:id="73"/>
      <w:bookmarkEnd w:id="74"/>
    </w:p>
    <w:p w14:paraId="37811559">
      <w:pPr>
        <w:ind w:firstLine="640"/>
        <w:jc w:val="both"/>
      </w:pPr>
      <w:r>
        <w:rPr>
          <w:rFonts w:hint="eastAsia"/>
        </w:rPr>
        <w:t>因网络、系统或其他原因，</w:t>
      </w:r>
      <w:r>
        <w:t>借贷双方任一方</w:t>
      </w:r>
      <w:r>
        <w:rPr>
          <w:rFonts w:hint="eastAsia"/>
        </w:rPr>
        <w:t>无法及时通过综合业务系统</w:t>
      </w:r>
      <w:r>
        <w:rPr>
          <w:rFonts w:hint="eastAsia"/>
          <w:lang w:eastAsia="zh-CN"/>
        </w:rPr>
        <w:t>外部</w:t>
      </w:r>
      <w:r>
        <w:rPr>
          <w:rFonts w:hint="eastAsia"/>
        </w:rPr>
        <w:t>客户端对</w:t>
      </w:r>
      <w:r>
        <w:rPr>
          <w:rFonts w:hint="eastAsia"/>
          <w:lang w:eastAsia="zh-CN"/>
        </w:rPr>
        <w:t>债券</w:t>
      </w:r>
      <w:r>
        <w:rPr>
          <w:rFonts w:hint="eastAsia"/>
        </w:rPr>
        <w:t>借贷成交数据进行指令确认的，可根据上海清算所《债券全额结算业务应急操作须知》</w:t>
      </w:r>
      <w:r>
        <w:rPr>
          <w:rStyle w:val="22"/>
        </w:rPr>
        <w:footnoteReference w:id="18"/>
      </w:r>
      <w:r>
        <w:rPr>
          <w:rFonts w:hint="eastAsia"/>
        </w:rPr>
        <w:t>相关要求在不晚于债券借贷首期结算日16:30之前，通过电子邮件方式向上海清算所运营部提交《二级市场交易确认应急指令书》</w:t>
      </w:r>
      <w:r>
        <w:rPr>
          <w:rStyle w:val="22"/>
        </w:rPr>
        <w:footnoteReference w:id="19"/>
      </w:r>
      <w:r>
        <w:rPr>
          <w:rFonts w:hint="eastAsia"/>
        </w:rPr>
        <w:t>及该笔借贷对应《同业拆借中心成交单》PDF格式盖章扫描件办理成交数据指令确认的应急操作。</w:t>
      </w:r>
    </w:p>
    <w:p w14:paraId="60C4318A">
      <w:pPr>
        <w:pStyle w:val="32"/>
        <w:keepNext w:val="0"/>
        <w:keepLines w:val="0"/>
        <w:widowControl/>
        <w:topLinePunct/>
        <w:ind w:firstLine="640"/>
        <w:rPr>
          <w:b w:val="0"/>
          <w:bCs w:val="0"/>
          <w:lang w:val="en-US"/>
        </w:rPr>
      </w:pPr>
      <w:bookmarkStart w:id="75" w:name="_Toc1793178619"/>
      <w:bookmarkStart w:id="76" w:name="_Toc1546446678"/>
      <w:r>
        <w:rPr>
          <w:b w:val="0"/>
          <w:bCs w:val="0"/>
        </w:rPr>
        <w:t>3.2</w:t>
      </w:r>
      <w:r>
        <w:rPr>
          <w:bCs w:val="0"/>
          <w:lang w:val="en-US"/>
        </w:rPr>
        <w:t>借贷存续期</w:t>
      </w:r>
      <w:r>
        <w:rPr>
          <w:rFonts w:hint="eastAsia"/>
          <w:b w:val="0"/>
          <w:bCs w:val="0"/>
          <w:lang w:val="en-US"/>
        </w:rPr>
        <w:t>质押券置换操作应急</w:t>
      </w:r>
      <w:bookmarkEnd w:id="75"/>
      <w:bookmarkEnd w:id="76"/>
    </w:p>
    <w:p w14:paraId="5014236C">
      <w:pPr>
        <w:ind w:firstLine="640"/>
        <w:jc w:val="both"/>
      </w:pPr>
      <w:r>
        <w:rPr>
          <w:rFonts w:hint="eastAsia"/>
        </w:rPr>
        <w:t>因网络、系统或其他原因，</w:t>
      </w:r>
      <w:r>
        <w:t>若借贷双方任一方</w:t>
      </w:r>
      <w:r>
        <w:rPr>
          <w:rFonts w:hint="eastAsia"/>
        </w:rPr>
        <w:t>无法及时通过综合业务系统客户端完成借贷存续期质押券置换指令发起或确认的，可根据《债券全额结算业务应急操作须知》相关要求在不晚于办理质押券置换操作当日16:30之前，通过电子邮件方式向上海清算所运营部提交《抵押品调整应急指令书》</w:t>
      </w:r>
      <w:r>
        <w:rPr>
          <w:rStyle w:val="22"/>
        </w:rPr>
        <w:footnoteReference w:id="20"/>
      </w:r>
      <w:r>
        <w:rPr>
          <w:rFonts w:hint="eastAsia"/>
        </w:rPr>
        <w:t>（加盖公章或预留印鉴）方式办理。</w:t>
      </w:r>
    </w:p>
    <w:p w14:paraId="45F09F4C">
      <w:pPr>
        <w:ind w:firstLine="640"/>
        <w:jc w:val="both"/>
        <w:rPr>
          <w:b w:val="0"/>
          <w:bCs w:val="0"/>
        </w:rPr>
      </w:pPr>
      <w:r>
        <w:rPr>
          <w:rFonts w:hint="eastAsia"/>
        </w:rPr>
        <w:t>对于借贷质押券置换指令发起操作的应急，借贷双方需共同在《抵押品调整应急指令书》上加盖公章或预留印鉴后，由借贷任一</w:t>
      </w:r>
      <w:r>
        <w:rPr>
          <w:rFonts w:hint="eastAsia"/>
          <w:b w:val="0"/>
          <w:bCs w:val="0"/>
        </w:rPr>
        <w:t>方将已加盖借贷双方公章或预留印鉴的《抵押品调整应急指令书》PDF格式盖章扫描件，通过电子邮件方式发送至上海清算所运营部。</w:t>
      </w:r>
    </w:p>
    <w:p w14:paraId="5060D205">
      <w:pPr>
        <w:ind w:firstLine="640"/>
        <w:jc w:val="both"/>
      </w:pPr>
      <w:r>
        <w:rPr>
          <w:rFonts w:hint="eastAsia"/>
          <w:b w:val="0"/>
          <w:bCs w:val="0"/>
        </w:rPr>
        <w:t>对于借贷质押券置换指令确认操作的应急，由无法通过综合业务系统客户端完成质押券置换指令确认操作的借贷一方在《抵押品调整应急指令书》加盖自身公章或预留印鉴</w:t>
      </w:r>
      <w:r>
        <w:rPr>
          <w:rFonts w:hint="eastAsia"/>
          <w:b w:val="0"/>
          <w:bCs/>
        </w:rPr>
        <w:t>后</w:t>
      </w:r>
      <w:r>
        <w:rPr>
          <w:rFonts w:hint="eastAsia"/>
        </w:rPr>
        <w:t>，通过电子邮件方式将相关业务应急指令书PDF格式盖章扫描件发送至上海清算所运营部。</w:t>
      </w:r>
    </w:p>
    <w:p w14:paraId="2404A7DE">
      <w:pPr>
        <w:pStyle w:val="32"/>
        <w:keepNext w:val="0"/>
        <w:keepLines w:val="0"/>
        <w:widowControl/>
        <w:topLinePunct/>
        <w:ind w:firstLine="640"/>
        <w:rPr>
          <w:b w:val="0"/>
          <w:bCs w:val="0"/>
          <w:lang w:val="en-US"/>
        </w:rPr>
      </w:pPr>
      <w:bookmarkStart w:id="77" w:name="_Toc229664078"/>
      <w:bookmarkStart w:id="78" w:name="_Toc229664021"/>
      <w:bookmarkStart w:id="79" w:name="_Toc2055083159"/>
      <w:r>
        <w:rPr>
          <w:b w:val="0"/>
          <w:bCs w:val="0"/>
        </w:rPr>
        <w:t>3.</w:t>
      </w:r>
      <w:r>
        <w:rPr>
          <w:b w:val="0"/>
          <w:bCs w:val="0"/>
          <w:lang w:val="en-US"/>
        </w:rPr>
        <w:t>3</w:t>
      </w:r>
      <w:r>
        <w:rPr>
          <w:rFonts w:hint="eastAsia"/>
          <w:b w:val="0"/>
          <w:bCs w:val="0"/>
          <w:lang w:val="en-US"/>
        </w:rPr>
        <w:t>借贷到期现金交割操作应急</w:t>
      </w:r>
      <w:bookmarkEnd w:id="77"/>
      <w:bookmarkEnd w:id="78"/>
      <w:bookmarkEnd w:id="79"/>
    </w:p>
    <w:p w14:paraId="07407300">
      <w:pPr>
        <w:ind w:firstLine="640"/>
        <w:jc w:val="both"/>
      </w:pPr>
      <w:r>
        <w:rPr>
          <w:rFonts w:hint="eastAsia"/>
        </w:rPr>
        <w:t>因网络、系统或其他原因，</w:t>
      </w:r>
      <w:r>
        <w:t>若</w:t>
      </w:r>
      <w:r>
        <w:rPr>
          <w:rFonts w:hint="eastAsia"/>
        </w:rPr>
        <w:t>借贷双方</w:t>
      </w:r>
      <w:r>
        <w:t>任一方</w:t>
      </w:r>
      <w:r>
        <w:rPr>
          <w:rFonts w:hint="eastAsia"/>
        </w:rPr>
        <w:t>无法及时通过综合业务系统客户端完成借贷到期现金交割指令发起或确认操作的，应在不晚于现金交割指令发起当日16:30之前，通过电子邮件方式向上海清算所运营部提交《到期结算现金交割业务应急指令书》（附件</w:t>
      </w:r>
      <w:r>
        <w:rPr>
          <w:rFonts w:hint="eastAsia"/>
          <w:lang w:val="en-US" w:eastAsia="zh-CN"/>
        </w:rPr>
        <w:t>2</w:t>
      </w:r>
      <w:r>
        <w:rPr>
          <w:rFonts w:hint="eastAsia"/>
        </w:rPr>
        <w:t>）方式办理。</w:t>
      </w:r>
    </w:p>
    <w:p w14:paraId="16B7C8ED">
      <w:pPr>
        <w:ind w:firstLine="640"/>
        <w:jc w:val="both"/>
        <w:rPr>
          <w:b w:val="0"/>
          <w:bCs w:val="0"/>
        </w:rPr>
      </w:pPr>
      <w:r>
        <w:rPr>
          <w:rFonts w:hint="eastAsia"/>
          <w:b w:val="0"/>
          <w:bCs w:val="0"/>
        </w:rPr>
        <w:t>对于借贷到期现金交割指令发起操作的应急，结算双方需共同在《到期结算现金交割业务应急指令书》上加盖公章或预留印鉴后，由结算任一方将已加盖结算双方公章或预留印鉴的《到期结算现金交割业务应急指令书》PDF格式盖章扫描件，通过电子邮件方式发送至上海清算所运营部。</w:t>
      </w:r>
    </w:p>
    <w:p w14:paraId="1FA5574C">
      <w:pPr>
        <w:ind w:firstLine="640"/>
        <w:jc w:val="both"/>
        <w:rPr>
          <w:b w:val="0"/>
          <w:bCs w:val="0"/>
        </w:rPr>
      </w:pPr>
      <w:r>
        <w:rPr>
          <w:rFonts w:hint="eastAsia"/>
          <w:b w:val="0"/>
          <w:bCs w:val="0"/>
        </w:rPr>
        <w:t>对于借贷到期现金交割指令确认操作的应急，由无法通过综合业务系统客户端完成到期现金交割指令确认操作的结算一方在《到期结算现金交割业务应急指令书》加盖自身公章或预留印鉴后，通过电子邮件方式将相关业务应急指令书PDF格式盖章扫描件发送至上海清算所运营部。</w:t>
      </w:r>
    </w:p>
    <w:p w14:paraId="2211EB57">
      <w:pPr>
        <w:pStyle w:val="32"/>
        <w:keepNext w:val="0"/>
        <w:keepLines w:val="0"/>
        <w:widowControl/>
        <w:topLinePunct/>
        <w:ind w:firstLine="640"/>
        <w:rPr>
          <w:b w:val="0"/>
          <w:bCs w:val="0"/>
          <w:lang w:val="en-US"/>
        </w:rPr>
      </w:pPr>
      <w:bookmarkStart w:id="80" w:name="_Toc1778479117"/>
      <w:bookmarkStart w:id="81" w:name="_Toc469229555"/>
      <w:r>
        <w:rPr>
          <w:b w:val="0"/>
          <w:bCs w:val="0"/>
        </w:rPr>
        <w:t>3.4</w:t>
      </w:r>
      <w:r>
        <w:rPr>
          <w:rFonts w:hint="eastAsia"/>
          <w:b w:val="0"/>
          <w:bCs w:val="0"/>
          <w:lang w:val="en-US"/>
        </w:rPr>
        <w:t>到期逾期返售操作应急</w:t>
      </w:r>
      <w:bookmarkEnd w:id="80"/>
      <w:bookmarkEnd w:id="81"/>
    </w:p>
    <w:p w14:paraId="46D939C5">
      <w:pPr>
        <w:ind w:firstLine="640"/>
        <w:jc w:val="both"/>
      </w:pPr>
      <w:r>
        <w:rPr>
          <w:rFonts w:hint="eastAsia"/>
        </w:rPr>
        <w:t>因网络、系统或其他原因，</w:t>
      </w:r>
      <w:r>
        <w:t>若借贷双方任一方</w:t>
      </w:r>
      <w:r>
        <w:rPr>
          <w:rFonts w:hint="eastAsia"/>
        </w:rPr>
        <w:t>无法及时通过综合业务系统客户端完成借贷到期逾期返售指令发起或确认的，应在不晚于逾期返售指令结算当日1</w:t>
      </w:r>
      <w:r>
        <w:t>6</w:t>
      </w:r>
      <w:r>
        <w:rPr>
          <w:rFonts w:hint="eastAsia"/>
        </w:rPr>
        <w:t>:</w:t>
      </w:r>
      <w:r>
        <w:t>3</w:t>
      </w:r>
      <w:r>
        <w:rPr>
          <w:rFonts w:hint="eastAsia"/>
        </w:rPr>
        <w:t>0之前，通过电子邮件方式向上海清算所运营部提交《债券借贷到期逾期返售业务应急指令书》（附件</w:t>
      </w:r>
      <w:r>
        <w:t>4</w:t>
      </w:r>
      <w:r>
        <w:rPr>
          <w:rFonts w:hint="eastAsia"/>
        </w:rPr>
        <w:t>）PDF格式盖章扫描件方式办理。</w:t>
      </w:r>
      <w:r>
        <w:rPr>
          <w:rFonts w:hint="eastAsia"/>
          <w:b w:val="0"/>
          <w:bCs w:val="0"/>
        </w:rPr>
        <w:t>其中，对于上海清算所作为标的券托管机构的跨机构借贷到期逾期返售操作应急，</w:t>
      </w:r>
      <w:r>
        <w:t>负责提交应急指令书的借贷一方应在不晚于</w:t>
      </w:r>
      <w:r>
        <w:rPr>
          <w:rFonts w:hint="eastAsia"/>
        </w:rPr>
        <w:t>逾期返售指令结算当日</w:t>
      </w:r>
      <w:r>
        <w:t>11</w:t>
      </w:r>
      <w:r>
        <w:rPr>
          <w:rFonts w:hint="eastAsia"/>
        </w:rPr>
        <w:t>:</w:t>
      </w:r>
      <w:r>
        <w:t>3</w:t>
      </w:r>
      <w:r>
        <w:rPr>
          <w:rFonts w:hint="eastAsia"/>
        </w:rPr>
        <w:t>0之前，向上海清算所运营部提交《债券借贷到期逾期返售业务应急指令书》PDF格式盖章扫描件。</w:t>
      </w:r>
    </w:p>
    <w:p w14:paraId="0523E50E">
      <w:pPr>
        <w:ind w:firstLine="640"/>
        <w:jc w:val="both"/>
        <w:rPr>
          <w:b w:val="0"/>
          <w:bCs w:val="0"/>
        </w:rPr>
      </w:pPr>
      <w:r>
        <w:rPr>
          <w:rFonts w:hint="eastAsia"/>
        </w:rPr>
        <w:t>对于借贷到期逾期返售指令发起操作的应急，借贷双方需共同在《债券借贷到期逾</w:t>
      </w:r>
      <w:r>
        <w:rPr>
          <w:rFonts w:hint="eastAsia"/>
          <w:b w:val="0"/>
          <w:bCs w:val="0"/>
        </w:rPr>
        <w:t>期返售业务应急指令书》上加盖公章或预留印鉴后，由借贷任一方将已加盖借贷双方公章或预留印鉴的《债券借贷到期逾期返售业务应急指令书》PDF格式盖章扫描件，通过电子邮件方式发送至上海清算所运营部。</w:t>
      </w:r>
    </w:p>
    <w:p w14:paraId="40558A15">
      <w:pPr>
        <w:ind w:firstLine="640"/>
        <w:jc w:val="both"/>
      </w:pPr>
      <w:r>
        <w:rPr>
          <w:rFonts w:hint="eastAsia"/>
          <w:b w:val="0"/>
          <w:bCs w:val="0"/>
        </w:rPr>
        <w:t>对于债券借贷到期逾期返售指令确认操作的应急，由无法通过综合业务系统客户端完成到期逾期返售指令确认操作的借贷一方在《债券借贷到期逾期返售业务应急指令书》加盖自身公章或预留印鉴后，通过电子邮件方式</w:t>
      </w:r>
      <w:r>
        <w:rPr>
          <w:rFonts w:hint="eastAsia"/>
        </w:rPr>
        <w:t>将相关业务应急指令书PDF格式盖章扫描件发送至上海清算所运营部。</w:t>
      </w:r>
    </w:p>
    <w:p w14:paraId="4090B518">
      <w:pPr>
        <w:pStyle w:val="31"/>
        <w:keepNext w:val="0"/>
        <w:keepLines w:val="0"/>
        <w:widowControl/>
        <w:topLinePunct/>
      </w:pPr>
      <w:bookmarkStart w:id="82" w:name="_Toc930551401"/>
      <w:bookmarkStart w:id="83" w:name="_Toc643106783"/>
      <w:r>
        <w:rPr>
          <w:rFonts w:hint="eastAsia"/>
        </w:rPr>
        <w:t>第四章 附件表单</w:t>
      </w:r>
      <w:bookmarkEnd w:id="82"/>
      <w:bookmarkEnd w:id="83"/>
    </w:p>
    <w:p w14:paraId="72372DEC">
      <w:pPr>
        <w:ind w:left="1920" w:leftChars="200" w:hanging="1280" w:hangingChars="400"/>
        <w:jc w:val="both"/>
      </w:pPr>
      <w:r>
        <w:t>附件</w:t>
      </w:r>
      <w:r>
        <w:rPr>
          <w:rFonts w:hint="eastAsia"/>
        </w:rPr>
        <w:t>：1.债券借贷到期提前终止申请表</w:t>
      </w:r>
    </w:p>
    <w:p w14:paraId="3DC3A7E0">
      <w:pPr>
        <w:numPr>
          <w:ilvl w:val="0"/>
          <w:numId w:val="0"/>
        </w:numPr>
        <w:ind w:leftChars="400" w:firstLine="320" w:firstLineChars="100"/>
        <w:jc w:val="both"/>
        <w:rPr>
          <w:rFonts w:hint="eastAsia" w:eastAsia="仿宋"/>
          <w:lang w:val="en-US" w:eastAsia="zh-CN"/>
        </w:rPr>
      </w:pPr>
      <w:r>
        <w:rPr>
          <w:rFonts w:hint="eastAsia"/>
          <w:lang w:val="en-US" w:eastAsia="zh-CN"/>
        </w:rPr>
        <w:t>2.</w:t>
      </w:r>
      <w:r>
        <w:rPr>
          <w:rFonts w:hint="eastAsia" w:eastAsia="仿宋"/>
          <w:lang w:val="en-US" w:eastAsia="zh-CN"/>
        </w:rPr>
        <w:t>到期结算现金交割业务应急指令书</w:t>
      </w:r>
    </w:p>
    <w:p w14:paraId="03B8B220">
      <w:pPr>
        <w:ind w:firstLine="1600" w:firstLineChars="500"/>
        <w:jc w:val="both"/>
      </w:pPr>
      <w:r>
        <w:t>3.</w:t>
      </w:r>
      <w:r>
        <w:rPr>
          <w:rFonts w:hint="eastAsia"/>
        </w:rPr>
        <w:t>跨托管机构债券借贷到期逾期返售申请表</w:t>
      </w:r>
    </w:p>
    <w:p w14:paraId="48DC88CF">
      <w:pPr>
        <w:ind w:firstLine="1600" w:firstLineChars="500"/>
        <w:jc w:val="both"/>
      </w:pPr>
      <w:r>
        <w:t>4.</w:t>
      </w:r>
      <w:r>
        <w:rPr>
          <w:rFonts w:hint="eastAsia"/>
        </w:rPr>
        <w:t>债券借贷到期逾期返售业务应急指令书</w:t>
      </w:r>
    </w:p>
    <w:p w14:paraId="6ACC7D71">
      <w:pPr>
        <w:pStyle w:val="32"/>
        <w:keepNext w:val="0"/>
        <w:keepLines w:val="0"/>
        <w:widowControl/>
        <w:topLinePunct/>
        <w:ind w:firstLine="0" w:firstLineChars="0"/>
        <w:rPr>
          <w:rFonts w:ascii="仿宋" w:hAnsi="仿宋" w:eastAsia="仿宋"/>
          <w:b w:val="0"/>
          <w:bCs w:val="0"/>
        </w:rPr>
      </w:pPr>
      <w:r>
        <w:rPr>
          <w:rFonts w:ascii="仿宋" w:hAnsi="仿宋" w:eastAsia="仿宋"/>
        </w:rPr>
        <w:br w:type="page"/>
      </w:r>
      <w:bookmarkStart w:id="84" w:name="_Toc665056352"/>
      <w:bookmarkStart w:id="85" w:name="_Toc890953437"/>
      <w:bookmarkStart w:id="86" w:name="_Toc1865917637"/>
      <w:bookmarkStart w:id="87" w:name="_Toc1890039857"/>
      <w:bookmarkStart w:id="88" w:name="_Toc1937355361"/>
      <w:bookmarkStart w:id="89" w:name="_Toc231143358"/>
      <w:bookmarkStart w:id="90" w:name="_Toc943742189"/>
      <w:r>
        <w:rPr>
          <w:rFonts w:ascii="仿宋" w:hAnsi="仿宋" w:eastAsia="仿宋"/>
          <w:b w:val="0"/>
          <w:bCs w:val="0"/>
        </w:rPr>
        <w:t>附件1</w:t>
      </w:r>
      <w:bookmarkEnd w:id="84"/>
      <w:bookmarkEnd w:id="85"/>
      <w:bookmarkEnd w:id="86"/>
      <w:bookmarkEnd w:id="87"/>
      <w:bookmarkEnd w:id="88"/>
      <w:bookmarkEnd w:id="89"/>
      <w:bookmarkEnd w:id="90"/>
    </w:p>
    <w:p w14:paraId="08F54CD9">
      <w:pPr>
        <w:widowControl w:val="0"/>
        <w:spacing w:line="560" w:lineRule="exact"/>
        <w:ind w:firstLine="0" w:firstLineChars="0"/>
        <w:jc w:val="center"/>
        <w:rPr>
          <w:rFonts w:ascii="黑体" w:hAnsi="黑体" w:eastAsia="黑体"/>
          <w:snapToGrid/>
          <w:kern w:val="2"/>
          <w:sz w:val="36"/>
          <w:szCs w:val="36"/>
        </w:rPr>
      </w:pPr>
      <w:r>
        <w:rPr>
          <w:rFonts w:hint="eastAsia" w:ascii="黑体" w:hAnsi="黑体" w:eastAsia="黑体"/>
          <w:snapToGrid/>
          <w:kern w:val="2"/>
          <w:sz w:val="36"/>
          <w:szCs w:val="36"/>
        </w:rPr>
        <w:t>银行间市场清算所股份有限公司</w:t>
      </w:r>
    </w:p>
    <w:p w14:paraId="180097D5">
      <w:pPr>
        <w:widowControl w:val="0"/>
        <w:spacing w:line="560" w:lineRule="exact"/>
        <w:ind w:firstLine="0" w:firstLineChars="0"/>
        <w:jc w:val="center"/>
        <w:rPr>
          <w:rFonts w:ascii="黑体" w:hAnsi="黑体" w:eastAsia="黑体"/>
          <w:snapToGrid/>
          <w:kern w:val="2"/>
          <w:sz w:val="36"/>
          <w:szCs w:val="36"/>
        </w:rPr>
      </w:pPr>
      <w:r>
        <w:rPr>
          <w:rFonts w:hint="eastAsia" w:ascii="黑体" w:hAnsi="黑体" w:eastAsia="黑体"/>
          <w:snapToGrid/>
          <w:kern w:val="2"/>
          <w:sz w:val="36"/>
          <w:szCs w:val="36"/>
        </w:rPr>
        <w:t>债券借贷到期提前终止申请表</w:t>
      </w:r>
    </w:p>
    <w:tbl>
      <w:tblPr>
        <w:tblStyle w:val="18"/>
        <w:tblpPr w:leftFromText="180" w:rightFromText="180" w:vertAnchor="text" w:horzAnchor="margin" w:tblpXSpec="center" w:tblpY="80"/>
        <w:tblOverlap w:val="never"/>
        <w:tblW w:w="61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8"/>
        <w:gridCol w:w="1843"/>
        <w:gridCol w:w="2936"/>
        <w:gridCol w:w="2309"/>
      </w:tblGrid>
      <w:tr w14:paraId="5B5A6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tcBorders>
              <w:left w:val="single" w:color="auto" w:sz="4" w:space="0"/>
              <w:bottom w:val="single" w:color="auto" w:sz="4" w:space="0"/>
              <w:right w:val="single" w:color="auto" w:sz="4" w:space="0"/>
            </w:tcBorders>
            <w:vAlign w:val="center"/>
          </w:tcPr>
          <w:p w14:paraId="525B1EA8">
            <w:pPr>
              <w:widowControl w:val="0"/>
              <w:spacing w:line="360" w:lineRule="exact"/>
              <w:ind w:firstLine="0" w:firstLineChars="0"/>
              <w:jc w:val="both"/>
              <w:rPr>
                <w:rFonts w:hAnsi="仿宋"/>
                <w:b/>
                <w:bCs/>
                <w:snapToGrid/>
                <w:kern w:val="2"/>
                <w:sz w:val="24"/>
                <w:szCs w:val="22"/>
              </w:rPr>
            </w:pPr>
            <w:r>
              <w:rPr>
                <w:rFonts w:hint="eastAsia" w:hAnsi="仿宋"/>
                <w:b/>
                <w:bCs/>
                <w:snapToGrid/>
                <w:kern w:val="2"/>
                <w:sz w:val="24"/>
                <w:szCs w:val="22"/>
              </w:rPr>
              <w:t>债券融入方账户信息：</w:t>
            </w:r>
          </w:p>
        </w:tc>
      </w:tr>
      <w:tr w14:paraId="6BD5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tcBorders>
              <w:top w:val="single" w:color="auto" w:sz="4" w:space="0"/>
              <w:left w:val="single" w:color="auto" w:sz="4" w:space="0"/>
              <w:bottom w:val="single" w:color="auto" w:sz="4" w:space="0"/>
              <w:right w:val="single" w:color="auto" w:sz="4" w:space="0"/>
            </w:tcBorders>
            <w:vAlign w:val="center"/>
          </w:tcPr>
          <w:p w14:paraId="34F2C771">
            <w:pPr>
              <w:widowControl w:val="0"/>
              <w:spacing w:line="240" w:lineRule="auto"/>
              <w:ind w:firstLine="0" w:firstLineChars="0"/>
              <w:jc w:val="both"/>
              <w:rPr>
                <w:rFonts w:hAnsi="仿宋"/>
                <w:sz w:val="24"/>
                <w:szCs w:val="24"/>
                <w:lang w:val="en-GB"/>
              </w:rPr>
            </w:pPr>
            <w:r>
              <w:rPr>
                <w:rFonts w:hint="eastAsia" w:hAnsi="仿宋"/>
                <w:sz w:val="24"/>
                <w:szCs w:val="24"/>
                <w:lang w:val="en-GB"/>
              </w:rPr>
              <w:t>上海清算所债券账户账号</w:t>
            </w:r>
          </w:p>
        </w:tc>
        <w:tc>
          <w:tcPr>
            <w:tcW w:w="3389" w:type="pct"/>
            <w:gridSpan w:val="3"/>
            <w:tcBorders>
              <w:top w:val="single" w:color="auto" w:sz="4" w:space="0"/>
              <w:left w:val="single" w:color="auto" w:sz="4" w:space="0"/>
              <w:bottom w:val="single" w:color="auto" w:sz="4" w:space="0"/>
              <w:right w:val="single" w:color="auto" w:sz="4" w:space="0"/>
            </w:tcBorders>
            <w:vAlign w:val="center"/>
          </w:tcPr>
          <w:p w14:paraId="1AFBBB35">
            <w:pPr>
              <w:widowControl w:val="0"/>
              <w:spacing w:line="360" w:lineRule="exact"/>
              <w:ind w:firstLine="0" w:firstLineChars="0"/>
              <w:jc w:val="both"/>
              <w:rPr>
                <w:rFonts w:hAnsi="仿宋"/>
                <w:bCs/>
                <w:snapToGrid/>
                <w:kern w:val="2"/>
                <w:sz w:val="24"/>
                <w:szCs w:val="22"/>
              </w:rPr>
            </w:pPr>
          </w:p>
        </w:tc>
      </w:tr>
      <w:tr w14:paraId="59CC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tcBorders>
              <w:top w:val="single" w:color="auto" w:sz="4" w:space="0"/>
              <w:left w:val="single" w:color="auto" w:sz="4" w:space="0"/>
              <w:bottom w:val="single" w:color="auto" w:sz="4" w:space="0"/>
              <w:right w:val="single" w:color="auto" w:sz="4" w:space="0"/>
            </w:tcBorders>
            <w:vAlign w:val="center"/>
          </w:tcPr>
          <w:p w14:paraId="02A81B2F">
            <w:pPr>
              <w:widowControl w:val="0"/>
              <w:spacing w:line="240" w:lineRule="auto"/>
              <w:ind w:firstLine="0" w:firstLineChars="0"/>
              <w:jc w:val="both"/>
              <w:rPr>
                <w:rFonts w:hAnsi="仿宋"/>
                <w:sz w:val="24"/>
                <w:szCs w:val="24"/>
                <w:lang w:val="en-GB"/>
              </w:rPr>
            </w:pPr>
            <w:r>
              <w:rPr>
                <w:rFonts w:hint="eastAsia" w:hAnsi="仿宋"/>
                <w:sz w:val="24"/>
                <w:szCs w:val="24"/>
                <w:lang w:val="en-GB"/>
              </w:rPr>
              <w:t>上海清算所债券账户全称</w:t>
            </w:r>
          </w:p>
        </w:tc>
        <w:tc>
          <w:tcPr>
            <w:tcW w:w="3389" w:type="pct"/>
            <w:gridSpan w:val="3"/>
            <w:tcBorders>
              <w:top w:val="single" w:color="auto" w:sz="4" w:space="0"/>
              <w:left w:val="single" w:color="auto" w:sz="4" w:space="0"/>
              <w:bottom w:val="single" w:color="auto" w:sz="4" w:space="0"/>
              <w:right w:val="single" w:color="auto" w:sz="4" w:space="0"/>
            </w:tcBorders>
            <w:vAlign w:val="center"/>
          </w:tcPr>
          <w:p w14:paraId="70859D2C">
            <w:pPr>
              <w:widowControl w:val="0"/>
              <w:spacing w:line="360" w:lineRule="exact"/>
              <w:ind w:firstLine="0" w:firstLineChars="0"/>
              <w:jc w:val="both"/>
              <w:rPr>
                <w:rFonts w:hAnsi="仿宋"/>
                <w:bCs/>
                <w:snapToGrid/>
                <w:kern w:val="2"/>
                <w:sz w:val="24"/>
                <w:szCs w:val="22"/>
              </w:rPr>
            </w:pPr>
          </w:p>
        </w:tc>
      </w:tr>
      <w:tr w14:paraId="1D01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6A4ECA61">
            <w:pPr>
              <w:widowControl w:val="0"/>
              <w:spacing w:line="360" w:lineRule="exact"/>
              <w:ind w:firstLine="0" w:firstLineChars="0"/>
              <w:jc w:val="both"/>
              <w:rPr>
                <w:rFonts w:hAnsi="仿宋"/>
                <w:b/>
                <w:bCs/>
                <w:snapToGrid/>
                <w:kern w:val="2"/>
                <w:sz w:val="24"/>
                <w:szCs w:val="22"/>
              </w:rPr>
            </w:pPr>
            <w:r>
              <w:rPr>
                <w:rFonts w:hint="eastAsia" w:hAnsi="仿宋"/>
                <w:b/>
                <w:bCs/>
                <w:snapToGrid/>
                <w:kern w:val="2"/>
                <w:sz w:val="24"/>
                <w:szCs w:val="22"/>
              </w:rPr>
              <w:t>债券融出方账户信息：</w:t>
            </w:r>
          </w:p>
        </w:tc>
      </w:tr>
      <w:tr w14:paraId="2938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tcBorders>
              <w:top w:val="single" w:color="auto" w:sz="4" w:space="0"/>
              <w:left w:val="single" w:color="auto" w:sz="4" w:space="0"/>
              <w:bottom w:val="single" w:color="auto" w:sz="4" w:space="0"/>
              <w:right w:val="single" w:color="auto" w:sz="4" w:space="0"/>
            </w:tcBorders>
            <w:vAlign w:val="center"/>
          </w:tcPr>
          <w:p w14:paraId="336A85FC">
            <w:pPr>
              <w:widowControl w:val="0"/>
              <w:spacing w:line="240" w:lineRule="auto"/>
              <w:ind w:firstLine="0" w:firstLineChars="0"/>
              <w:jc w:val="both"/>
              <w:rPr>
                <w:rFonts w:hAnsi="仿宋"/>
                <w:sz w:val="24"/>
                <w:szCs w:val="24"/>
                <w:lang w:val="en-GB"/>
              </w:rPr>
            </w:pPr>
            <w:r>
              <w:rPr>
                <w:rFonts w:hint="eastAsia" w:hAnsi="仿宋"/>
                <w:sz w:val="24"/>
                <w:szCs w:val="24"/>
                <w:lang w:val="en-GB"/>
              </w:rPr>
              <w:t>上海清算所债券账户账号</w:t>
            </w:r>
          </w:p>
        </w:tc>
        <w:tc>
          <w:tcPr>
            <w:tcW w:w="3389" w:type="pct"/>
            <w:gridSpan w:val="3"/>
            <w:tcBorders>
              <w:top w:val="single" w:color="auto" w:sz="4" w:space="0"/>
              <w:left w:val="single" w:color="auto" w:sz="4" w:space="0"/>
              <w:bottom w:val="single" w:color="auto" w:sz="4" w:space="0"/>
              <w:right w:val="single" w:color="auto" w:sz="4" w:space="0"/>
            </w:tcBorders>
            <w:vAlign w:val="center"/>
          </w:tcPr>
          <w:p w14:paraId="74C002BD">
            <w:pPr>
              <w:widowControl w:val="0"/>
              <w:spacing w:line="360" w:lineRule="exact"/>
              <w:ind w:firstLine="0" w:firstLineChars="0"/>
              <w:jc w:val="both"/>
              <w:rPr>
                <w:rFonts w:hAnsi="仿宋"/>
                <w:bCs/>
                <w:snapToGrid/>
                <w:kern w:val="2"/>
                <w:sz w:val="24"/>
                <w:szCs w:val="22"/>
              </w:rPr>
            </w:pPr>
          </w:p>
        </w:tc>
      </w:tr>
      <w:tr w14:paraId="45B6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tcBorders>
              <w:top w:val="single" w:color="auto" w:sz="4" w:space="0"/>
              <w:left w:val="single" w:color="auto" w:sz="4" w:space="0"/>
              <w:bottom w:val="single" w:color="auto" w:sz="4" w:space="0"/>
              <w:right w:val="single" w:color="auto" w:sz="4" w:space="0"/>
            </w:tcBorders>
            <w:vAlign w:val="center"/>
          </w:tcPr>
          <w:p w14:paraId="2C57A00E">
            <w:pPr>
              <w:widowControl w:val="0"/>
              <w:spacing w:line="240" w:lineRule="auto"/>
              <w:ind w:firstLine="0" w:firstLineChars="0"/>
              <w:jc w:val="both"/>
              <w:rPr>
                <w:rFonts w:hAnsi="仿宋"/>
                <w:sz w:val="24"/>
                <w:szCs w:val="24"/>
                <w:lang w:val="en-GB"/>
              </w:rPr>
            </w:pPr>
            <w:r>
              <w:rPr>
                <w:rFonts w:hint="eastAsia" w:hAnsi="仿宋"/>
                <w:sz w:val="24"/>
                <w:szCs w:val="24"/>
                <w:lang w:val="en-GB"/>
              </w:rPr>
              <w:t>上海清算所债券账户全称</w:t>
            </w:r>
          </w:p>
        </w:tc>
        <w:tc>
          <w:tcPr>
            <w:tcW w:w="3389" w:type="pct"/>
            <w:gridSpan w:val="3"/>
            <w:tcBorders>
              <w:top w:val="single" w:color="auto" w:sz="4" w:space="0"/>
              <w:left w:val="single" w:color="auto" w:sz="4" w:space="0"/>
              <w:bottom w:val="single" w:color="auto" w:sz="4" w:space="0"/>
              <w:right w:val="single" w:color="auto" w:sz="4" w:space="0"/>
            </w:tcBorders>
            <w:vAlign w:val="center"/>
          </w:tcPr>
          <w:p w14:paraId="48E15005">
            <w:pPr>
              <w:widowControl w:val="0"/>
              <w:spacing w:line="360" w:lineRule="exact"/>
              <w:ind w:firstLine="0" w:firstLineChars="0"/>
              <w:jc w:val="both"/>
              <w:rPr>
                <w:rFonts w:hAnsi="仿宋"/>
                <w:bCs/>
                <w:snapToGrid/>
                <w:kern w:val="2"/>
                <w:sz w:val="24"/>
                <w:szCs w:val="22"/>
              </w:rPr>
            </w:pPr>
          </w:p>
        </w:tc>
      </w:tr>
      <w:tr w14:paraId="0B57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BF0B96F">
            <w:pPr>
              <w:widowControl w:val="0"/>
              <w:spacing w:line="360" w:lineRule="exact"/>
              <w:ind w:firstLine="0" w:firstLineChars="0"/>
              <w:jc w:val="center"/>
              <w:rPr>
                <w:rFonts w:hAnsi="仿宋"/>
                <w:b/>
                <w:bCs/>
                <w:snapToGrid/>
                <w:kern w:val="2"/>
                <w:sz w:val="24"/>
                <w:szCs w:val="22"/>
              </w:rPr>
            </w:pPr>
            <w:r>
              <w:rPr>
                <w:rFonts w:hAnsi="仿宋"/>
                <w:b/>
                <w:bCs/>
                <w:snapToGrid/>
                <w:kern w:val="2"/>
                <w:sz w:val="24"/>
                <w:szCs w:val="22"/>
              </w:rPr>
              <w:t>到期结算提前终止相关信息</w:t>
            </w:r>
          </w:p>
        </w:tc>
      </w:tr>
      <w:tr w14:paraId="00F4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tcBorders>
              <w:top w:val="single" w:color="auto" w:sz="4" w:space="0"/>
              <w:left w:val="single" w:color="auto" w:sz="4" w:space="0"/>
              <w:bottom w:val="single" w:color="auto" w:sz="4" w:space="0"/>
              <w:right w:val="single" w:color="auto" w:sz="4" w:space="0"/>
            </w:tcBorders>
            <w:vAlign w:val="center"/>
          </w:tcPr>
          <w:p w14:paraId="59C1E175">
            <w:pPr>
              <w:widowControl w:val="0"/>
              <w:spacing w:line="360" w:lineRule="exact"/>
              <w:ind w:firstLine="0" w:firstLineChars="0"/>
              <w:rPr>
                <w:rFonts w:hAnsi="仿宋"/>
                <w:bCs/>
                <w:snapToGrid/>
                <w:kern w:val="2"/>
                <w:sz w:val="24"/>
                <w:szCs w:val="22"/>
              </w:rPr>
            </w:pPr>
            <w:r>
              <w:rPr>
                <w:rFonts w:hint="eastAsia" w:hAnsi="仿宋"/>
                <w:bCs/>
                <w:snapToGrid/>
                <w:kern w:val="2"/>
                <w:sz w:val="24"/>
                <w:szCs w:val="22"/>
              </w:rPr>
              <w:t>外汇交易中心成交</w:t>
            </w:r>
            <w:r>
              <w:rPr>
                <w:rFonts w:hAnsi="仿宋"/>
                <w:bCs/>
                <w:snapToGrid/>
                <w:kern w:val="2"/>
                <w:sz w:val="24"/>
                <w:szCs w:val="22"/>
              </w:rPr>
              <w:t>编号</w:t>
            </w:r>
          </w:p>
        </w:tc>
        <w:tc>
          <w:tcPr>
            <w:tcW w:w="3389" w:type="pct"/>
            <w:gridSpan w:val="3"/>
            <w:tcBorders>
              <w:top w:val="single" w:color="auto" w:sz="4" w:space="0"/>
              <w:left w:val="single" w:color="auto" w:sz="4" w:space="0"/>
              <w:bottom w:val="single" w:color="auto" w:sz="4" w:space="0"/>
              <w:right w:val="single" w:color="auto" w:sz="4" w:space="0"/>
            </w:tcBorders>
            <w:vAlign w:val="center"/>
          </w:tcPr>
          <w:p w14:paraId="43B3A9D9">
            <w:pPr>
              <w:widowControl w:val="0"/>
              <w:spacing w:line="360" w:lineRule="exact"/>
              <w:ind w:firstLine="0" w:firstLineChars="0"/>
              <w:jc w:val="both"/>
              <w:rPr>
                <w:rFonts w:hAnsi="仿宋"/>
                <w:bCs/>
                <w:snapToGrid/>
                <w:kern w:val="2"/>
                <w:sz w:val="24"/>
                <w:szCs w:val="22"/>
              </w:rPr>
            </w:pPr>
          </w:p>
        </w:tc>
      </w:tr>
      <w:tr w14:paraId="74BF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tcBorders>
              <w:top w:val="single" w:color="auto" w:sz="4" w:space="0"/>
              <w:left w:val="single" w:color="auto" w:sz="4" w:space="0"/>
              <w:bottom w:val="single" w:color="auto" w:sz="4" w:space="0"/>
              <w:right w:val="single" w:color="auto" w:sz="4" w:space="0"/>
            </w:tcBorders>
            <w:vAlign w:val="center"/>
          </w:tcPr>
          <w:p w14:paraId="34A37553">
            <w:pPr>
              <w:widowControl w:val="0"/>
              <w:spacing w:line="360" w:lineRule="exact"/>
              <w:ind w:firstLine="0" w:firstLineChars="0"/>
              <w:rPr>
                <w:rFonts w:hAnsi="仿宋"/>
                <w:bCs/>
                <w:snapToGrid/>
                <w:kern w:val="2"/>
                <w:sz w:val="24"/>
                <w:szCs w:val="22"/>
              </w:rPr>
            </w:pPr>
            <w:r>
              <w:rPr>
                <w:rFonts w:hAnsi="仿宋"/>
                <w:bCs/>
                <w:snapToGrid/>
                <w:kern w:val="2"/>
                <w:sz w:val="24"/>
                <w:szCs w:val="22"/>
              </w:rPr>
              <w:t>标的券托管机构</w:t>
            </w:r>
          </w:p>
        </w:tc>
        <w:tc>
          <w:tcPr>
            <w:tcW w:w="3389" w:type="pct"/>
            <w:gridSpan w:val="3"/>
            <w:tcBorders>
              <w:top w:val="single" w:color="auto" w:sz="4" w:space="0"/>
              <w:left w:val="single" w:color="auto" w:sz="4" w:space="0"/>
              <w:bottom w:val="single" w:color="auto" w:sz="4" w:space="0"/>
              <w:right w:val="single" w:color="auto" w:sz="4" w:space="0"/>
            </w:tcBorders>
            <w:vAlign w:val="center"/>
          </w:tcPr>
          <w:p w14:paraId="3B3E6B65">
            <w:pPr>
              <w:widowControl w:val="0"/>
              <w:spacing w:line="360" w:lineRule="exact"/>
              <w:ind w:firstLine="0" w:firstLineChars="0"/>
              <w:jc w:val="center"/>
              <w:rPr>
                <w:rFonts w:hAnsi="仿宋"/>
                <w:bCs/>
                <w:snapToGrid/>
                <w:kern w:val="2"/>
                <w:sz w:val="24"/>
                <w:szCs w:val="22"/>
              </w:rPr>
            </w:pPr>
            <w:r>
              <w:rPr>
                <w:rFonts w:hAnsi="仿宋"/>
                <w:bCs/>
                <w:snapToGrid/>
                <w:kern w:val="2"/>
                <w:sz w:val="24"/>
                <w:szCs w:val="22"/>
              </w:rPr>
              <w:t>上海清算所</w:t>
            </w:r>
          </w:p>
        </w:tc>
      </w:tr>
      <w:tr w14:paraId="79BB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tcBorders>
              <w:top w:val="single" w:color="auto" w:sz="4" w:space="0"/>
              <w:left w:val="single" w:color="auto" w:sz="4" w:space="0"/>
              <w:bottom w:val="single" w:color="auto" w:sz="4" w:space="0"/>
              <w:right w:val="single" w:color="auto" w:sz="4" w:space="0"/>
            </w:tcBorders>
            <w:vAlign w:val="center"/>
          </w:tcPr>
          <w:p w14:paraId="090B62D5">
            <w:pPr>
              <w:widowControl w:val="0"/>
              <w:spacing w:line="360" w:lineRule="exact"/>
              <w:ind w:firstLine="0" w:firstLineChars="0"/>
              <w:rPr>
                <w:rFonts w:hAnsi="仿宋"/>
                <w:bCs/>
                <w:snapToGrid/>
                <w:kern w:val="2"/>
                <w:sz w:val="24"/>
                <w:szCs w:val="22"/>
              </w:rPr>
            </w:pPr>
            <w:r>
              <w:rPr>
                <w:rFonts w:hint="eastAsia" w:hAnsi="仿宋"/>
                <w:bCs/>
                <w:snapToGrid/>
                <w:kern w:val="2"/>
                <w:sz w:val="24"/>
                <w:szCs w:val="22"/>
              </w:rPr>
              <w:t>原到期结算金额（元）</w:t>
            </w:r>
          </w:p>
        </w:tc>
        <w:tc>
          <w:tcPr>
            <w:tcW w:w="3389" w:type="pct"/>
            <w:gridSpan w:val="3"/>
            <w:tcBorders>
              <w:top w:val="single" w:color="auto" w:sz="4" w:space="0"/>
              <w:left w:val="single" w:color="auto" w:sz="4" w:space="0"/>
              <w:bottom w:val="single" w:color="auto" w:sz="4" w:space="0"/>
              <w:right w:val="single" w:color="auto" w:sz="4" w:space="0"/>
            </w:tcBorders>
            <w:vAlign w:val="center"/>
          </w:tcPr>
          <w:p w14:paraId="418513A1">
            <w:pPr>
              <w:widowControl w:val="0"/>
              <w:spacing w:line="360" w:lineRule="exact"/>
              <w:ind w:firstLine="0" w:firstLineChars="0"/>
              <w:rPr>
                <w:rFonts w:hAnsi="仿宋"/>
                <w:bCs/>
                <w:snapToGrid/>
                <w:kern w:val="2"/>
                <w:sz w:val="24"/>
                <w:szCs w:val="22"/>
              </w:rPr>
            </w:pPr>
          </w:p>
        </w:tc>
      </w:tr>
      <w:tr w14:paraId="0C339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tcBorders>
              <w:top w:val="single" w:color="auto" w:sz="4" w:space="0"/>
              <w:left w:val="single" w:color="auto" w:sz="4" w:space="0"/>
              <w:bottom w:val="single" w:color="auto" w:sz="4" w:space="0"/>
              <w:right w:val="single" w:color="auto" w:sz="4" w:space="0"/>
            </w:tcBorders>
            <w:vAlign w:val="center"/>
          </w:tcPr>
          <w:p w14:paraId="56E764A8">
            <w:pPr>
              <w:widowControl w:val="0"/>
              <w:spacing w:line="360" w:lineRule="exact"/>
              <w:ind w:firstLine="0" w:firstLineChars="0"/>
              <w:rPr>
                <w:rFonts w:hAnsi="仿宋"/>
                <w:bCs/>
                <w:snapToGrid/>
                <w:kern w:val="2"/>
                <w:sz w:val="24"/>
                <w:szCs w:val="22"/>
              </w:rPr>
            </w:pPr>
            <w:r>
              <w:rPr>
                <w:rFonts w:hint="eastAsia" w:hAnsi="仿宋"/>
                <w:bCs/>
                <w:snapToGrid/>
                <w:kern w:val="2"/>
                <w:sz w:val="24"/>
                <w:szCs w:val="22"/>
              </w:rPr>
              <w:t>到期结算日</w:t>
            </w:r>
          </w:p>
        </w:tc>
        <w:tc>
          <w:tcPr>
            <w:tcW w:w="3389" w:type="pct"/>
            <w:gridSpan w:val="3"/>
            <w:tcBorders>
              <w:top w:val="single" w:color="auto" w:sz="4" w:space="0"/>
              <w:left w:val="single" w:color="auto" w:sz="4" w:space="0"/>
              <w:bottom w:val="single" w:color="auto" w:sz="4" w:space="0"/>
              <w:right w:val="single" w:color="auto" w:sz="4" w:space="0"/>
            </w:tcBorders>
            <w:vAlign w:val="center"/>
          </w:tcPr>
          <w:p w14:paraId="0F998552">
            <w:pPr>
              <w:widowControl w:val="0"/>
              <w:spacing w:line="360" w:lineRule="exact"/>
              <w:ind w:firstLine="0" w:firstLineChars="0"/>
              <w:jc w:val="both"/>
              <w:rPr>
                <w:rFonts w:hAnsi="仿宋"/>
                <w:bCs/>
                <w:snapToGrid/>
                <w:kern w:val="2"/>
                <w:sz w:val="24"/>
                <w:szCs w:val="22"/>
              </w:rPr>
            </w:pPr>
          </w:p>
        </w:tc>
      </w:tr>
      <w:tr w14:paraId="77E93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tcBorders>
              <w:top w:val="single" w:color="auto" w:sz="4" w:space="0"/>
              <w:left w:val="single" w:color="auto" w:sz="4" w:space="0"/>
              <w:bottom w:val="single" w:color="auto" w:sz="4" w:space="0"/>
              <w:right w:val="single" w:color="auto" w:sz="4" w:space="0"/>
            </w:tcBorders>
            <w:vAlign w:val="center"/>
          </w:tcPr>
          <w:p w14:paraId="65C3ADED">
            <w:pPr>
              <w:widowControl w:val="0"/>
              <w:spacing w:line="360" w:lineRule="exact"/>
              <w:ind w:firstLine="0" w:firstLineChars="0"/>
              <w:rPr>
                <w:rFonts w:hAnsi="仿宋"/>
                <w:bCs/>
                <w:snapToGrid/>
                <w:kern w:val="2"/>
                <w:sz w:val="24"/>
                <w:szCs w:val="22"/>
              </w:rPr>
            </w:pPr>
            <w:r>
              <w:rPr>
                <w:rFonts w:hint="eastAsia" w:hAnsi="仿宋"/>
                <w:bCs/>
                <w:snapToGrid/>
                <w:kern w:val="2"/>
                <w:sz w:val="24"/>
                <w:szCs w:val="22"/>
              </w:rPr>
              <w:t>计划的提前终止结算日</w:t>
            </w:r>
          </w:p>
        </w:tc>
        <w:tc>
          <w:tcPr>
            <w:tcW w:w="3389" w:type="pct"/>
            <w:gridSpan w:val="3"/>
            <w:tcBorders>
              <w:top w:val="single" w:color="auto" w:sz="4" w:space="0"/>
              <w:left w:val="single" w:color="auto" w:sz="4" w:space="0"/>
              <w:bottom w:val="single" w:color="auto" w:sz="4" w:space="0"/>
              <w:right w:val="single" w:color="auto" w:sz="4" w:space="0"/>
            </w:tcBorders>
            <w:vAlign w:val="center"/>
          </w:tcPr>
          <w:p w14:paraId="2CBC532E">
            <w:pPr>
              <w:widowControl w:val="0"/>
              <w:spacing w:line="360" w:lineRule="exact"/>
              <w:ind w:firstLine="679" w:firstLineChars="283"/>
              <w:jc w:val="both"/>
              <w:rPr>
                <w:rFonts w:hAnsi="仿宋"/>
                <w:bCs/>
                <w:snapToGrid/>
                <w:kern w:val="2"/>
                <w:sz w:val="24"/>
                <w:szCs w:val="22"/>
              </w:rPr>
            </w:pPr>
            <w:r>
              <w:rPr>
                <w:rFonts w:hAnsi="仿宋"/>
                <w:bCs/>
                <w:snapToGrid/>
                <w:kern w:val="2"/>
                <w:sz w:val="24"/>
                <w:szCs w:val="22"/>
              </w:rPr>
              <w:t>年</w:t>
            </w:r>
            <w:r>
              <w:rPr>
                <w:rFonts w:hint="eastAsia" w:hAnsi="仿宋"/>
                <w:bCs/>
                <w:snapToGrid/>
                <w:kern w:val="2"/>
                <w:sz w:val="24"/>
                <w:szCs w:val="22"/>
              </w:rPr>
              <w:t xml:space="preserve">    </w:t>
            </w:r>
            <w:r>
              <w:rPr>
                <w:rFonts w:hAnsi="仿宋"/>
                <w:bCs/>
                <w:snapToGrid/>
                <w:kern w:val="2"/>
                <w:sz w:val="24"/>
                <w:szCs w:val="22"/>
              </w:rPr>
              <w:t xml:space="preserve"> </w:t>
            </w:r>
            <w:r>
              <w:rPr>
                <w:rFonts w:hint="eastAsia" w:hAnsi="仿宋"/>
                <w:bCs/>
                <w:snapToGrid/>
                <w:kern w:val="2"/>
                <w:sz w:val="24"/>
                <w:szCs w:val="22"/>
              </w:rPr>
              <w:t>月    日</w:t>
            </w:r>
          </w:p>
        </w:tc>
      </w:tr>
      <w:tr w14:paraId="4B4E2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tcBorders>
              <w:top w:val="single" w:color="auto" w:sz="4" w:space="0"/>
              <w:left w:val="single" w:color="auto" w:sz="4" w:space="0"/>
              <w:bottom w:val="single" w:color="auto" w:sz="4" w:space="0"/>
              <w:right w:val="single" w:color="auto" w:sz="4" w:space="0"/>
            </w:tcBorders>
            <w:vAlign w:val="center"/>
          </w:tcPr>
          <w:p w14:paraId="02B370D9">
            <w:pPr>
              <w:widowControl w:val="0"/>
              <w:spacing w:line="360" w:lineRule="exact"/>
              <w:ind w:firstLine="0" w:firstLineChars="0"/>
              <w:rPr>
                <w:rFonts w:hAnsi="仿宋"/>
                <w:bCs/>
                <w:snapToGrid/>
                <w:kern w:val="2"/>
                <w:sz w:val="24"/>
                <w:szCs w:val="22"/>
              </w:rPr>
            </w:pPr>
            <w:r>
              <w:rPr>
                <w:rFonts w:hint="eastAsia" w:hAnsi="仿宋"/>
                <w:bCs/>
                <w:snapToGrid/>
                <w:kern w:val="2"/>
                <w:sz w:val="24"/>
                <w:szCs w:val="22"/>
              </w:rPr>
              <w:t>终止日结算金额（元）</w:t>
            </w:r>
          </w:p>
        </w:tc>
        <w:tc>
          <w:tcPr>
            <w:tcW w:w="3389" w:type="pct"/>
            <w:gridSpan w:val="3"/>
            <w:tcBorders>
              <w:top w:val="single" w:color="auto" w:sz="4" w:space="0"/>
              <w:left w:val="single" w:color="auto" w:sz="4" w:space="0"/>
              <w:bottom w:val="single" w:color="auto" w:sz="4" w:space="0"/>
              <w:right w:val="single" w:color="auto" w:sz="4" w:space="0"/>
            </w:tcBorders>
            <w:vAlign w:val="center"/>
          </w:tcPr>
          <w:p w14:paraId="57DB420A">
            <w:pPr>
              <w:widowControl w:val="0"/>
              <w:spacing w:line="360" w:lineRule="exact"/>
              <w:ind w:firstLine="0" w:firstLineChars="0"/>
              <w:jc w:val="both"/>
              <w:rPr>
                <w:rFonts w:hAnsi="仿宋"/>
                <w:bCs/>
                <w:snapToGrid/>
                <w:kern w:val="2"/>
                <w:sz w:val="24"/>
                <w:szCs w:val="22"/>
              </w:rPr>
            </w:pPr>
          </w:p>
        </w:tc>
      </w:tr>
      <w:tr w14:paraId="471B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vMerge w:val="restart"/>
            <w:tcBorders>
              <w:top w:val="single" w:color="auto" w:sz="4" w:space="0"/>
              <w:left w:val="single" w:color="auto" w:sz="4" w:space="0"/>
              <w:right w:val="single" w:color="auto" w:sz="4" w:space="0"/>
            </w:tcBorders>
            <w:vAlign w:val="center"/>
          </w:tcPr>
          <w:p w14:paraId="5B850B10">
            <w:pPr>
              <w:widowControl w:val="0"/>
              <w:spacing w:line="360" w:lineRule="exact"/>
              <w:ind w:firstLine="0" w:firstLineChars="0"/>
              <w:rPr>
                <w:rFonts w:hAnsi="仿宋"/>
                <w:bCs/>
                <w:snapToGrid/>
                <w:kern w:val="2"/>
                <w:sz w:val="24"/>
                <w:szCs w:val="22"/>
              </w:rPr>
            </w:pPr>
            <w:r>
              <w:rPr>
                <w:rFonts w:hint="eastAsia" w:hAnsi="仿宋"/>
                <w:bCs/>
                <w:snapToGrid/>
                <w:kern w:val="2"/>
                <w:sz w:val="24"/>
                <w:szCs w:val="22"/>
              </w:rPr>
              <w:t>债券融入方质押券解押信息（栏位不够可自行添加）</w:t>
            </w:r>
          </w:p>
        </w:tc>
        <w:tc>
          <w:tcPr>
            <w:tcW w:w="881" w:type="pct"/>
            <w:tcBorders>
              <w:top w:val="single" w:color="auto" w:sz="4" w:space="0"/>
              <w:left w:val="single" w:color="auto" w:sz="4" w:space="0"/>
              <w:bottom w:val="single" w:color="auto" w:sz="4" w:space="0"/>
              <w:right w:val="single" w:color="auto" w:sz="4" w:space="0"/>
            </w:tcBorders>
            <w:vAlign w:val="center"/>
          </w:tcPr>
          <w:p w14:paraId="0D50E5FD">
            <w:pPr>
              <w:widowControl w:val="0"/>
              <w:spacing w:line="360" w:lineRule="exact"/>
              <w:ind w:firstLine="0" w:firstLineChars="0"/>
              <w:jc w:val="center"/>
              <w:rPr>
                <w:rFonts w:hAnsi="仿宋"/>
                <w:bCs/>
                <w:snapToGrid/>
                <w:kern w:val="2"/>
                <w:sz w:val="24"/>
                <w:szCs w:val="22"/>
              </w:rPr>
            </w:pPr>
            <w:r>
              <w:rPr>
                <w:rFonts w:hAnsi="仿宋"/>
                <w:bCs/>
                <w:snapToGrid/>
                <w:kern w:val="2"/>
                <w:sz w:val="24"/>
                <w:szCs w:val="22"/>
              </w:rPr>
              <w:t>债券代码</w:t>
            </w:r>
          </w:p>
        </w:tc>
        <w:tc>
          <w:tcPr>
            <w:tcW w:w="1404" w:type="pct"/>
            <w:tcBorders>
              <w:top w:val="single" w:color="auto" w:sz="4" w:space="0"/>
              <w:left w:val="single" w:color="auto" w:sz="4" w:space="0"/>
              <w:bottom w:val="single" w:color="auto" w:sz="4" w:space="0"/>
              <w:right w:val="single" w:color="auto" w:sz="4" w:space="0"/>
            </w:tcBorders>
            <w:vAlign w:val="center"/>
          </w:tcPr>
          <w:p w14:paraId="5324D0AD">
            <w:pPr>
              <w:widowControl w:val="0"/>
              <w:spacing w:line="360" w:lineRule="exact"/>
              <w:ind w:firstLine="0" w:firstLineChars="0"/>
              <w:jc w:val="center"/>
              <w:rPr>
                <w:rFonts w:hAnsi="仿宋"/>
                <w:bCs/>
                <w:snapToGrid/>
                <w:kern w:val="2"/>
                <w:sz w:val="24"/>
                <w:szCs w:val="22"/>
              </w:rPr>
            </w:pPr>
            <w:r>
              <w:rPr>
                <w:rFonts w:hAnsi="仿宋"/>
                <w:bCs/>
                <w:snapToGrid/>
                <w:kern w:val="2"/>
                <w:sz w:val="24"/>
                <w:szCs w:val="22"/>
              </w:rPr>
              <w:t>债券中文简称</w:t>
            </w:r>
          </w:p>
        </w:tc>
        <w:tc>
          <w:tcPr>
            <w:tcW w:w="1103" w:type="pct"/>
            <w:tcBorders>
              <w:top w:val="single" w:color="auto" w:sz="4" w:space="0"/>
              <w:left w:val="single" w:color="auto" w:sz="4" w:space="0"/>
              <w:bottom w:val="single" w:color="auto" w:sz="4" w:space="0"/>
              <w:right w:val="single" w:color="auto" w:sz="4" w:space="0"/>
            </w:tcBorders>
            <w:vAlign w:val="center"/>
          </w:tcPr>
          <w:p w14:paraId="28C26976">
            <w:pPr>
              <w:widowControl w:val="0"/>
              <w:spacing w:line="360" w:lineRule="exact"/>
              <w:ind w:firstLine="0" w:firstLineChars="0"/>
              <w:jc w:val="center"/>
              <w:rPr>
                <w:rFonts w:hAnsi="仿宋"/>
                <w:bCs/>
                <w:snapToGrid/>
                <w:kern w:val="2"/>
                <w:sz w:val="24"/>
                <w:szCs w:val="22"/>
              </w:rPr>
            </w:pPr>
            <w:r>
              <w:rPr>
                <w:rFonts w:hAnsi="仿宋"/>
                <w:bCs/>
                <w:snapToGrid/>
                <w:kern w:val="2"/>
                <w:sz w:val="24"/>
                <w:szCs w:val="22"/>
              </w:rPr>
              <w:t>解押面额</w:t>
            </w:r>
            <w:r>
              <w:rPr>
                <w:rFonts w:hint="eastAsia" w:hAnsi="仿宋"/>
                <w:bCs/>
                <w:snapToGrid/>
                <w:kern w:val="2"/>
                <w:sz w:val="24"/>
                <w:szCs w:val="22"/>
              </w:rPr>
              <w:t>（万元）</w:t>
            </w:r>
          </w:p>
        </w:tc>
      </w:tr>
      <w:tr w14:paraId="6309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vMerge w:val="continue"/>
            <w:tcBorders>
              <w:left w:val="single" w:color="auto" w:sz="4" w:space="0"/>
              <w:right w:val="single" w:color="auto" w:sz="4" w:space="0"/>
            </w:tcBorders>
            <w:vAlign w:val="center"/>
          </w:tcPr>
          <w:p w14:paraId="52C445CB">
            <w:pPr>
              <w:widowControl w:val="0"/>
              <w:spacing w:line="360" w:lineRule="exact"/>
              <w:ind w:firstLine="0" w:firstLineChars="0"/>
              <w:jc w:val="center"/>
              <w:rPr>
                <w:rFonts w:hAnsi="仿宋"/>
                <w:b/>
                <w:bCs/>
                <w:snapToGrid/>
                <w:kern w:val="2"/>
                <w:sz w:val="24"/>
                <w:szCs w:val="22"/>
              </w:rPr>
            </w:pPr>
          </w:p>
        </w:tc>
        <w:tc>
          <w:tcPr>
            <w:tcW w:w="881" w:type="pct"/>
            <w:tcBorders>
              <w:top w:val="single" w:color="auto" w:sz="4" w:space="0"/>
              <w:left w:val="single" w:color="auto" w:sz="4" w:space="0"/>
              <w:bottom w:val="single" w:color="auto" w:sz="4" w:space="0"/>
              <w:right w:val="single" w:color="auto" w:sz="4" w:space="0"/>
            </w:tcBorders>
            <w:vAlign w:val="center"/>
          </w:tcPr>
          <w:p w14:paraId="6D17030A">
            <w:pPr>
              <w:widowControl w:val="0"/>
              <w:spacing w:line="360" w:lineRule="exact"/>
              <w:ind w:firstLine="0" w:firstLineChars="0"/>
              <w:rPr>
                <w:rFonts w:hAnsi="仿宋"/>
                <w:bCs/>
                <w:snapToGrid/>
                <w:kern w:val="2"/>
                <w:sz w:val="24"/>
                <w:szCs w:val="22"/>
              </w:rPr>
            </w:pPr>
          </w:p>
        </w:tc>
        <w:tc>
          <w:tcPr>
            <w:tcW w:w="1404" w:type="pct"/>
            <w:tcBorders>
              <w:top w:val="single" w:color="auto" w:sz="4" w:space="0"/>
              <w:left w:val="single" w:color="auto" w:sz="4" w:space="0"/>
              <w:bottom w:val="single" w:color="auto" w:sz="4" w:space="0"/>
              <w:right w:val="single" w:color="auto" w:sz="4" w:space="0"/>
            </w:tcBorders>
            <w:vAlign w:val="center"/>
          </w:tcPr>
          <w:p w14:paraId="34F9E37A">
            <w:pPr>
              <w:widowControl w:val="0"/>
              <w:spacing w:line="360" w:lineRule="exact"/>
              <w:ind w:firstLine="0" w:firstLineChars="0"/>
              <w:rPr>
                <w:rFonts w:hAnsi="仿宋"/>
                <w:bCs/>
                <w:snapToGrid/>
                <w:kern w:val="2"/>
                <w:sz w:val="24"/>
                <w:szCs w:val="22"/>
              </w:rPr>
            </w:pPr>
          </w:p>
        </w:tc>
        <w:tc>
          <w:tcPr>
            <w:tcW w:w="1103" w:type="pct"/>
            <w:tcBorders>
              <w:top w:val="single" w:color="auto" w:sz="4" w:space="0"/>
              <w:left w:val="single" w:color="auto" w:sz="4" w:space="0"/>
              <w:bottom w:val="single" w:color="auto" w:sz="4" w:space="0"/>
              <w:right w:val="single" w:color="auto" w:sz="4" w:space="0"/>
            </w:tcBorders>
            <w:vAlign w:val="center"/>
          </w:tcPr>
          <w:p w14:paraId="4B1E7B0E">
            <w:pPr>
              <w:widowControl w:val="0"/>
              <w:spacing w:line="360" w:lineRule="exact"/>
              <w:ind w:firstLine="0" w:firstLineChars="0"/>
              <w:jc w:val="right"/>
              <w:rPr>
                <w:rFonts w:hAnsi="仿宋"/>
                <w:bCs/>
                <w:snapToGrid/>
                <w:kern w:val="2"/>
                <w:sz w:val="24"/>
                <w:szCs w:val="22"/>
              </w:rPr>
            </w:pPr>
          </w:p>
        </w:tc>
      </w:tr>
      <w:tr w14:paraId="2AF4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vMerge w:val="continue"/>
            <w:tcBorders>
              <w:left w:val="single" w:color="auto" w:sz="4" w:space="0"/>
              <w:right w:val="single" w:color="auto" w:sz="4" w:space="0"/>
            </w:tcBorders>
            <w:vAlign w:val="center"/>
          </w:tcPr>
          <w:p w14:paraId="7846F203">
            <w:pPr>
              <w:widowControl w:val="0"/>
              <w:spacing w:line="360" w:lineRule="exact"/>
              <w:ind w:firstLine="0" w:firstLineChars="0"/>
              <w:jc w:val="center"/>
              <w:rPr>
                <w:rFonts w:hAnsi="仿宋"/>
                <w:bCs/>
                <w:snapToGrid/>
                <w:kern w:val="2"/>
                <w:sz w:val="24"/>
                <w:szCs w:val="22"/>
              </w:rPr>
            </w:pPr>
          </w:p>
        </w:tc>
        <w:tc>
          <w:tcPr>
            <w:tcW w:w="881" w:type="pct"/>
            <w:tcBorders>
              <w:top w:val="single" w:color="auto" w:sz="4" w:space="0"/>
              <w:left w:val="single" w:color="auto" w:sz="4" w:space="0"/>
              <w:bottom w:val="single" w:color="auto" w:sz="4" w:space="0"/>
              <w:right w:val="single" w:color="auto" w:sz="4" w:space="0"/>
            </w:tcBorders>
            <w:vAlign w:val="center"/>
          </w:tcPr>
          <w:p w14:paraId="2ED4AC51">
            <w:pPr>
              <w:widowControl w:val="0"/>
              <w:spacing w:line="360" w:lineRule="exact"/>
              <w:ind w:firstLine="0" w:firstLineChars="0"/>
              <w:rPr>
                <w:rFonts w:hAnsi="仿宋"/>
                <w:bCs/>
                <w:snapToGrid/>
                <w:kern w:val="2"/>
                <w:sz w:val="24"/>
                <w:szCs w:val="22"/>
              </w:rPr>
            </w:pPr>
          </w:p>
        </w:tc>
        <w:tc>
          <w:tcPr>
            <w:tcW w:w="1404" w:type="pct"/>
            <w:tcBorders>
              <w:top w:val="single" w:color="auto" w:sz="4" w:space="0"/>
              <w:left w:val="single" w:color="auto" w:sz="4" w:space="0"/>
              <w:bottom w:val="single" w:color="auto" w:sz="4" w:space="0"/>
              <w:right w:val="single" w:color="auto" w:sz="4" w:space="0"/>
            </w:tcBorders>
            <w:vAlign w:val="center"/>
          </w:tcPr>
          <w:p w14:paraId="46606FD4">
            <w:pPr>
              <w:widowControl w:val="0"/>
              <w:spacing w:line="360" w:lineRule="exact"/>
              <w:ind w:firstLine="0" w:firstLineChars="0"/>
              <w:rPr>
                <w:rFonts w:hAnsi="仿宋"/>
                <w:bCs/>
                <w:snapToGrid/>
                <w:kern w:val="2"/>
                <w:sz w:val="24"/>
                <w:szCs w:val="22"/>
              </w:rPr>
            </w:pPr>
          </w:p>
        </w:tc>
        <w:tc>
          <w:tcPr>
            <w:tcW w:w="1103" w:type="pct"/>
            <w:tcBorders>
              <w:top w:val="single" w:color="auto" w:sz="4" w:space="0"/>
              <w:left w:val="single" w:color="auto" w:sz="4" w:space="0"/>
              <w:bottom w:val="single" w:color="auto" w:sz="4" w:space="0"/>
              <w:right w:val="single" w:color="auto" w:sz="4" w:space="0"/>
            </w:tcBorders>
            <w:vAlign w:val="center"/>
          </w:tcPr>
          <w:p w14:paraId="6E47C07B">
            <w:pPr>
              <w:widowControl w:val="0"/>
              <w:spacing w:line="360" w:lineRule="exact"/>
              <w:ind w:firstLine="0" w:firstLineChars="0"/>
              <w:jc w:val="right"/>
              <w:rPr>
                <w:rFonts w:hAnsi="仿宋"/>
                <w:bCs/>
                <w:snapToGrid/>
                <w:kern w:val="2"/>
                <w:sz w:val="24"/>
                <w:szCs w:val="22"/>
              </w:rPr>
            </w:pPr>
          </w:p>
        </w:tc>
      </w:tr>
      <w:tr w14:paraId="7AF55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vMerge w:val="continue"/>
            <w:tcBorders>
              <w:left w:val="single" w:color="auto" w:sz="4" w:space="0"/>
              <w:right w:val="single" w:color="auto" w:sz="4" w:space="0"/>
            </w:tcBorders>
            <w:vAlign w:val="center"/>
          </w:tcPr>
          <w:p w14:paraId="66F0786B">
            <w:pPr>
              <w:widowControl w:val="0"/>
              <w:spacing w:line="360" w:lineRule="exact"/>
              <w:ind w:firstLine="0" w:firstLineChars="0"/>
              <w:jc w:val="center"/>
              <w:rPr>
                <w:rFonts w:hAnsi="仿宋"/>
                <w:bCs/>
                <w:snapToGrid/>
                <w:kern w:val="2"/>
                <w:sz w:val="24"/>
                <w:szCs w:val="22"/>
              </w:rPr>
            </w:pPr>
          </w:p>
        </w:tc>
        <w:tc>
          <w:tcPr>
            <w:tcW w:w="881" w:type="pct"/>
            <w:tcBorders>
              <w:top w:val="single" w:color="auto" w:sz="4" w:space="0"/>
              <w:left w:val="single" w:color="auto" w:sz="4" w:space="0"/>
              <w:bottom w:val="single" w:color="auto" w:sz="4" w:space="0"/>
              <w:right w:val="single" w:color="auto" w:sz="4" w:space="0"/>
            </w:tcBorders>
            <w:vAlign w:val="center"/>
          </w:tcPr>
          <w:p w14:paraId="1E6D7C20">
            <w:pPr>
              <w:widowControl w:val="0"/>
              <w:spacing w:line="360" w:lineRule="exact"/>
              <w:ind w:firstLine="0" w:firstLineChars="0"/>
              <w:rPr>
                <w:rFonts w:hAnsi="仿宋"/>
                <w:bCs/>
                <w:snapToGrid/>
                <w:kern w:val="2"/>
                <w:sz w:val="24"/>
                <w:szCs w:val="22"/>
              </w:rPr>
            </w:pPr>
          </w:p>
        </w:tc>
        <w:tc>
          <w:tcPr>
            <w:tcW w:w="1404" w:type="pct"/>
            <w:tcBorders>
              <w:top w:val="single" w:color="auto" w:sz="4" w:space="0"/>
              <w:left w:val="single" w:color="auto" w:sz="4" w:space="0"/>
              <w:bottom w:val="single" w:color="auto" w:sz="4" w:space="0"/>
              <w:right w:val="single" w:color="auto" w:sz="4" w:space="0"/>
            </w:tcBorders>
            <w:vAlign w:val="center"/>
          </w:tcPr>
          <w:p w14:paraId="2631AE4A">
            <w:pPr>
              <w:widowControl w:val="0"/>
              <w:spacing w:line="360" w:lineRule="exact"/>
              <w:ind w:firstLine="0" w:firstLineChars="0"/>
              <w:rPr>
                <w:rFonts w:hAnsi="仿宋"/>
                <w:bCs/>
                <w:snapToGrid/>
                <w:kern w:val="2"/>
                <w:sz w:val="24"/>
                <w:szCs w:val="22"/>
              </w:rPr>
            </w:pPr>
          </w:p>
        </w:tc>
        <w:tc>
          <w:tcPr>
            <w:tcW w:w="1103" w:type="pct"/>
            <w:tcBorders>
              <w:top w:val="single" w:color="auto" w:sz="4" w:space="0"/>
              <w:left w:val="single" w:color="auto" w:sz="4" w:space="0"/>
              <w:bottom w:val="single" w:color="auto" w:sz="4" w:space="0"/>
              <w:right w:val="single" w:color="auto" w:sz="4" w:space="0"/>
            </w:tcBorders>
            <w:vAlign w:val="center"/>
          </w:tcPr>
          <w:p w14:paraId="3DB56818">
            <w:pPr>
              <w:widowControl w:val="0"/>
              <w:spacing w:line="360" w:lineRule="exact"/>
              <w:ind w:firstLine="0" w:firstLineChars="0"/>
              <w:jc w:val="right"/>
              <w:rPr>
                <w:rFonts w:hAnsi="仿宋"/>
                <w:bCs/>
                <w:snapToGrid/>
                <w:kern w:val="2"/>
                <w:sz w:val="24"/>
                <w:szCs w:val="22"/>
              </w:rPr>
            </w:pPr>
          </w:p>
        </w:tc>
      </w:tr>
      <w:tr w14:paraId="238F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vMerge w:val="continue"/>
            <w:tcBorders>
              <w:left w:val="single" w:color="auto" w:sz="4" w:space="0"/>
              <w:bottom w:val="single" w:color="auto" w:sz="4" w:space="0"/>
              <w:right w:val="single" w:color="auto" w:sz="4" w:space="0"/>
            </w:tcBorders>
            <w:vAlign w:val="center"/>
          </w:tcPr>
          <w:p w14:paraId="5DA3EE88">
            <w:pPr>
              <w:widowControl w:val="0"/>
              <w:spacing w:line="360" w:lineRule="exact"/>
              <w:ind w:firstLine="0" w:firstLineChars="0"/>
              <w:jc w:val="center"/>
              <w:rPr>
                <w:rFonts w:hAnsi="仿宋"/>
                <w:bCs/>
                <w:snapToGrid/>
                <w:kern w:val="2"/>
                <w:sz w:val="24"/>
                <w:szCs w:val="22"/>
              </w:rPr>
            </w:pPr>
          </w:p>
        </w:tc>
        <w:tc>
          <w:tcPr>
            <w:tcW w:w="881" w:type="pct"/>
            <w:tcBorders>
              <w:top w:val="single" w:color="auto" w:sz="4" w:space="0"/>
              <w:left w:val="single" w:color="auto" w:sz="4" w:space="0"/>
              <w:bottom w:val="single" w:color="auto" w:sz="4" w:space="0"/>
              <w:right w:val="single" w:color="auto" w:sz="4" w:space="0"/>
            </w:tcBorders>
            <w:vAlign w:val="center"/>
          </w:tcPr>
          <w:p w14:paraId="4CCF306E">
            <w:pPr>
              <w:widowControl w:val="0"/>
              <w:spacing w:line="360" w:lineRule="exact"/>
              <w:ind w:firstLine="0" w:firstLineChars="0"/>
              <w:rPr>
                <w:rFonts w:hAnsi="仿宋"/>
                <w:bCs/>
                <w:snapToGrid/>
                <w:kern w:val="2"/>
                <w:sz w:val="24"/>
                <w:szCs w:val="22"/>
              </w:rPr>
            </w:pPr>
          </w:p>
        </w:tc>
        <w:tc>
          <w:tcPr>
            <w:tcW w:w="1404" w:type="pct"/>
            <w:tcBorders>
              <w:top w:val="single" w:color="auto" w:sz="4" w:space="0"/>
              <w:left w:val="single" w:color="auto" w:sz="4" w:space="0"/>
              <w:bottom w:val="single" w:color="auto" w:sz="4" w:space="0"/>
              <w:right w:val="single" w:color="auto" w:sz="4" w:space="0"/>
            </w:tcBorders>
            <w:vAlign w:val="center"/>
          </w:tcPr>
          <w:p w14:paraId="4C022572">
            <w:pPr>
              <w:widowControl w:val="0"/>
              <w:spacing w:line="360" w:lineRule="exact"/>
              <w:ind w:firstLine="0" w:firstLineChars="0"/>
              <w:rPr>
                <w:rFonts w:hAnsi="仿宋"/>
                <w:bCs/>
                <w:snapToGrid/>
                <w:kern w:val="2"/>
                <w:sz w:val="24"/>
                <w:szCs w:val="22"/>
              </w:rPr>
            </w:pPr>
          </w:p>
        </w:tc>
        <w:tc>
          <w:tcPr>
            <w:tcW w:w="1103" w:type="pct"/>
            <w:tcBorders>
              <w:top w:val="single" w:color="auto" w:sz="4" w:space="0"/>
              <w:left w:val="single" w:color="auto" w:sz="4" w:space="0"/>
              <w:bottom w:val="single" w:color="auto" w:sz="4" w:space="0"/>
              <w:right w:val="single" w:color="auto" w:sz="4" w:space="0"/>
            </w:tcBorders>
            <w:vAlign w:val="center"/>
          </w:tcPr>
          <w:p w14:paraId="5DB95F8A">
            <w:pPr>
              <w:widowControl w:val="0"/>
              <w:spacing w:line="360" w:lineRule="exact"/>
              <w:ind w:firstLine="0" w:firstLineChars="0"/>
              <w:jc w:val="right"/>
              <w:rPr>
                <w:rFonts w:hAnsi="仿宋"/>
                <w:bCs/>
                <w:snapToGrid/>
                <w:kern w:val="2"/>
                <w:sz w:val="24"/>
                <w:szCs w:val="22"/>
              </w:rPr>
            </w:pPr>
          </w:p>
        </w:tc>
      </w:tr>
      <w:tr w14:paraId="44F9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tcBorders>
              <w:left w:val="single" w:color="auto" w:sz="4" w:space="0"/>
              <w:bottom w:val="single" w:color="auto" w:sz="4" w:space="0"/>
              <w:right w:val="single" w:color="auto" w:sz="4" w:space="0"/>
            </w:tcBorders>
            <w:vAlign w:val="center"/>
          </w:tcPr>
          <w:p w14:paraId="4862E89F">
            <w:pPr>
              <w:widowControl w:val="0"/>
              <w:spacing w:line="360" w:lineRule="exact"/>
              <w:ind w:firstLine="0" w:firstLineChars="0"/>
              <w:jc w:val="both"/>
              <w:rPr>
                <w:rFonts w:hAnsi="仿宋"/>
                <w:snapToGrid/>
                <w:kern w:val="2"/>
                <w:sz w:val="21"/>
                <w:szCs w:val="22"/>
              </w:rPr>
            </w:pPr>
            <w:r>
              <w:rPr>
                <w:rFonts w:hAnsi="仿宋"/>
                <w:bCs/>
                <w:snapToGrid/>
                <w:kern w:val="2"/>
                <w:sz w:val="24"/>
                <w:szCs w:val="22"/>
              </w:rPr>
              <w:t>本次</w:t>
            </w:r>
            <w:r>
              <w:rPr>
                <w:rFonts w:hint="eastAsia" w:hAnsi="仿宋"/>
                <w:bCs/>
                <w:snapToGrid/>
                <w:kern w:val="2"/>
                <w:sz w:val="24"/>
                <w:szCs w:val="22"/>
              </w:rPr>
              <w:t>终止事件对应《中国银行间市场债券借贷交易主协议》终止事件的具体条款内容</w:t>
            </w:r>
          </w:p>
        </w:tc>
        <w:tc>
          <w:tcPr>
            <w:tcW w:w="3389" w:type="pct"/>
            <w:gridSpan w:val="3"/>
            <w:tcBorders>
              <w:top w:val="single" w:color="auto" w:sz="4" w:space="0"/>
              <w:left w:val="single" w:color="auto" w:sz="4" w:space="0"/>
              <w:bottom w:val="single" w:color="auto" w:sz="4" w:space="0"/>
              <w:right w:val="single" w:color="auto" w:sz="4" w:space="0"/>
            </w:tcBorders>
            <w:vAlign w:val="center"/>
          </w:tcPr>
          <w:p w14:paraId="1CE51FE0">
            <w:pPr>
              <w:widowControl w:val="0"/>
              <w:spacing w:line="360" w:lineRule="exact"/>
              <w:ind w:firstLine="0" w:firstLineChars="0"/>
              <w:rPr>
                <w:rFonts w:hAnsi="仿宋"/>
                <w:bCs/>
                <w:snapToGrid/>
                <w:kern w:val="2"/>
                <w:sz w:val="24"/>
                <w:szCs w:val="22"/>
              </w:rPr>
            </w:pPr>
          </w:p>
          <w:p w14:paraId="70B9CC70">
            <w:pPr>
              <w:widowControl w:val="0"/>
              <w:spacing w:line="360" w:lineRule="exact"/>
              <w:ind w:firstLine="0" w:firstLineChars="0"/>
              <w:rPr>
                <w:rFonts w:hAnsi="仿宋"/>
                <w:bCs/>
                <w:snapToGrid/>
                <w:kern w:val="2"/>
                <w:sz w:val="24"/>
                <w:szCs w:val="22"/>
              </w:rPr>
            </w:pPr>
          </w:p>
          <w:p w14:paraId="26EA32FB">
            <w:pPr>
              <w:widowControl w:val="0"/>
              <w:spacing w:line="360" w:lineRule="exact"/>
              <w:ind w:firstLine="0" w:firstLineChars="0"/>
              <w:rPr>
                <w:rFonts w:hAnsi="仿宋"/>
                <w:bCs/>
                <w:snapToGrid/>
                <w:kern w:val="2"/>
                <w:sz w:val="24"/>
                <w:szCs w:val="22"/>
              </w:rPr>
            </w:pPr>
          </w:p>
        </w:tc>
      </w:tr>
      <w:tr w14:paraId="3314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tcBorders>
              <w:left w:val="single" w:color="auto" w:sz="4" w:space="0"/>
              <w:bottom w:val="single" w:color="auto" w:sz="4" w:space="0"/>
              <w:right w:val="single" w:color="auto" w:sz="4" w:space="0"/>
            </w:tcBorders>
            <w:vAlign w:val="center"/>
          </w:tcPr>
          <w:p w14:paraId="628EB849">
            <w:pPr>
              <w:widowControl w:val="0"/>
              <w:spacing w:line="360" w:lineRule="exact"/>
              <w:ind w:firstLine="0" w:firstLineChars="0"/>
              <w:jc w:val="both"/>
              <w:rPr>
                <w:rFonts w:hAnsi="仿宋"/>
                <w:bCs/>
                <w:snapToGrid/>
                <w:kern w:val="2"/>
                <w:sz w:val="24"/>
                <w:szCs w:val="22"/>
              </w:rPr>
            </w:pPr>
            <w:r>
              <w:rPr>
                <w:rFonts w:hint="eastAsia" w:hAnsi="仿宋"/>
                <w:bCs/>
                <w:snapToGrid/>
                <w:kern w:val="2"/>
                <w:sz w:val="24"/>
                <w:szCs w:val="22"/>
              </w:rPr>
              <w:t>提前终止原因及相关情况说明</w:t>
            </w:r>
          </w:p>
        </w:tc>
        <w:tc>
          <w:tcPr>
            <w:tcW w:w="3389" w:type="pct"/>
            <w:gridSpan w:val="3"/>
            <w:tcBorders>
              <w:top w:val="single" w:color="auto" w:sz="4" w:space="0"/>
              <w:left w:val="single" w:color="auto" w:sz="4" w:space="0"/>
              <w:bottom w:val="single" w:color="auto" w:sz="4" w:space="0"/>
              <w:right w:val="single" w:color="auto" w:sz="4" w:space="0"/>
            </w:tcBorders>
            <w:vAlign w:val="center"/>
          </w:tcPr>
          <w:p w14:paraId="76558B24">
            <w:pPr>
              <w:widowControl w:val="0"/>
              <w:spacing w:line="360" w:lineRule="exact"/>
              <w:ind w:firstLine="0" w:firstLineChars="0"/>
              <w:rPr>
                <w:rFonts w:hAnsi="仿宋"/>
                <w:bCs/>
                <w:snapToGrid/>
                <w:kern w:val="2"/>
                <w:sz w:val="24"/>
                <w:szCs w:val="22"/>
              </w:rPr>
            </w:pPr>
          </w:p>
          <w:p w14:paraId="2ECD6539">
            <w:pPr>
              <w:widowControl w:val="0"/>
              <w:spacing w:line="360" w:lineRule="exact"/>
              <w:ind w:firstLine="0" w:firstLineChars="0"/>
              <w:rPr>
                <w:rFonts w:hAnsi="仿宋"/>
                <w:bCs/>
                <w:snapToGrid/>
                <w:kern w:val="2"/>
                <w:sz w:val="24"/>
                <w:szCs w:val="22"/>
              </w:rPr>
            </w:pPr>
          </w:p>
          <w:p w14:paraId="0A2C3521">
            <w:pPr>
              <w:widowControl w:val="0"/>
              <w:spacing w:line="360" w:lineRule="exact"/>
              <w:ind w:firstLine="0" w:firstLineChars="0"/>
              <w:rPr>
                <w:rFonts w:hAnsi="仿宋"/>
                <w:bCs/>
                <w:snapToGrid/>
                <w:kern w:val="2"/>
                <w:sz w:val="24"/>
                <w:szCs w:val="22"/>
              </w:rPr>
            </w:pPr>
          </w:p>
        </w:tc>
      </w:tr>
      <w:tr w14:paraId="014B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tcBorders>
              <w:left w:val="single" w:color="auto" w:sz="4" w:space="0"/>
              <w:bottom w:val="single" w:color="auto" w:sz="4" w:space="0"/>
              <w:right w:val="single" w:color="auto" w:sz="4" w:space="0"/>
            </w:tcBorders>
            <w:vAlign w:val="center"/>
          </w:tcPr>
          <w:p w14:paraId="539752F5">
            <w:pPr>
              <w:widowControl w:val="0"/>
              <w:spacing w:line="360" w:lineRule="exact"/>
              <w:ind w:firstLine="0" w:firstLineChars="0"/>
              <w:jc w:val="both"/>
              <w:rPr>
                <w:rFonts w:hAnsi="仿宋"/>
                <w:bCs/>
                <w:snapToGrid/>
                <w:kern w:val="2"/>
                <w:sz w:val="24"/>
                <w:szCs w:val="22"/>
              </w:rPr>
            </w:pPr>
            <w:r>
              <w:rPr>
                <w:rFonts w:hint="eastAsia" w:hAnsi="仿宋"/>
                <w:snapToGrid/>
                <w:kern w:val="2"/>
                <w:sz w:val="24"/>
                <w:szCs w:val="22"/>
              </w:rPr>
              <w:t>债券融入方办公电话</w:t>
            </w:r>
          </w:p>
        </w:tc>
        <w:tc>
          <w:tcPr>
            <w:tcW w:w="3389" w:type="pct"/>
            <w:gridSpan w:val="3"/>
            <w:tcBorders>
              <w:top w:val="single" w:color="auto" w:sz="4" w:space="0"/>
              <w:left w:val="single" w:color="auto" w:sz="4" w:space="0"/>
              <w:bottom w:val="single" w:color="auto" w:sz="4" w:space="0"/>
              <w:right w:val="single" w:color="auto" w:sz="4" w:space="0"/>
            </w:tcBorders>
            <w:vAlign w:val="center"/>
          </w:tcPr>
          <w:p w14:paraId="0D09481E">
            <w:pPr>
              <w:widowControl w:val="0"/>
              <w:spacing w:line="360" w:lineRule="exact"/>
              <w:ind w:firstLine="0" w:firstLineChars="0"/>
              <w:rPr>
                <w:rFonts w:hAnsi="仿宋"/>
                <w:bCs/>
                <w:snapToGrid/>
                <w:kern w:val="2"/>
                <w:sz w:val="24"/>
                <w:szCs w:val="22"/>
              </w:rPr>
            </w:pPr>
          </w:p>
        </w:tc>
      </w:tr>
      <w:tr w14:paraId="7821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tcBorders>
              <w:left w:val="single" w:color="auto" w:sz="4" w:space="0"/>
              <w:bottom w:val="single" w:color="auto" w:sz="4" w:space="0"/>
              <w:right w:val="single" w:color="auto" w:sz="4" w:space="0"/>
            </w:tcBorders>
            <w:vAlign w:val="center"/>
          </w:tcPr>
          <w:p w14:paraId="1A6E8671">
            <w:pPr>
              <w:widowControl w:val="0"/>
              <w:spacing w:line="360" w:lineRule="exact"/>
              <w:ind w:firstLine="0" w:firstLineChars="0"/>
              <w:jc w:val="both"/>
              <w:rPr>
                <w:rFonts w:hAnsi="仿宋"/>
                <w:bCs/>
                <w:snapToGrid/>
                <w:kern w:val="2"/>
                <w:sz w:val="24"/>
                <w:szCs w:val="22"/>
              </w:rPr>
            </w:pPr>
            <w:r>
              <w:rPr>
                <w:rFonts w:hint="eastAsia" w:hAnsi="仿宋"/>
                <w:snapToGrid/>
                <w:kern w:val="2"/>
                <w:sz w:val="24"/>
                <w:szCs w:val="22"/>
              </w:rPr>
              <w:t>债券融出方办公电话</w:t>
            </w:r>
          </w:p>
        </w:tc>
        <w:tc>
          <w:tcPr>
            <w:tcW w:w="3389" w:type="pct"/>
            <w:gridSpan w:val="3"/>
            <w:tcBorders>
              <w:top w:val="single" w:color="auto" w:sz="4" w:space="0"/>
              <w:left w:val="single" w:color="auto" w:sz="4" w:space="0"/>
              <w:bottom w:val="single" w:color="auto" w:sz="4" w:space="0"/>
              <w:right w:val="single" w:color="auto" w:sz="4" w:space="0"/>
            </w:tcBorders>
            <w:vAlign w:val="center"/>
          </w:tcPr>
          <w:p w14:paraId="56D21CD8">
            <w:pPr>
              <w:widowControl w:val="0"/>
              <w:spacing w:line="360" w:lineRule="exact"/>
              <w:ind w:firstLine="0" w:firstLineChars="0"/>
              <w:rPr>
                <w:rFonts w:hAnsi="仿宋"/>
                <w:bCs/>
                <w:snapToGrid/>
                <w:kern w:val="2"/>
                <w:sz w:val="24"/>
                <w:szCs w:val="22"/>
              </w:rPr>
            </w:pPr>
          </w:p>
        </w:tc>
      </w:tr>
      <w:tr w14:paraId="5303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1" w:type="pct"/>
            <w:tcBorders>
              <w:left w:val="single" w:color="auto" w:sz="4" w:space="0"/>
              <w:bottom w:val="single" w:color="auto" w:sz="4" w:space="0"/>
              <w:right w:val="single" w:color="auto" w:sz="4" w:space="0"/>
            </w:tcBorders>
            <w:vAlign w:val="center"/>
          </w:tcPr>
          <w:p w14:paraId="16D8DA7D">
            <w:pPr>
              <w:widowControl w:val="0"/>
              <w:spacing w:line="360" w:lineRule="exact"/>
              <w:ind w:firstLine="0" w:firstLineChars="0"/>
              <w:jc w:val="both"/>
              <w:rPr>
                <w:rFonts w:hAnsi="仿宋"/>
                <w:snapToGrid/>
                <w:kern w:val="2"/>
                <w:sz w:val="24"/>
                <w:szCs w:val="22"/>
              </w:rPr>
            </w:pPr>
            <w:r>
              <w:rPr>
                <w:rFonts w:hint="eastAsia" w:hAnsi="仿宋"/>
                <w:snapToGrid/>
                <w:kern w:val="2"/>
                <w:sz w:val="24"/>
                <w:szCs w:val="22"/>
              </w:rPr>
              <w:t>备注信息</w:t>
            </w:r>
          </w:p>
        </w:tc>
        <w:tc>
          <w:tcPr>
            <w:tcW w:w="3389" w:type="pct"/>
            <w:gridSpan w:val="3"/>
            <w:tcBorders>
              <w:top w:val="single" w:color="auto" w:sz="4" w:space="0"/>
              <w:left w:val="single" w:color="auto" w:sz="4" w:space="0"/>
              <w:bottom w:val="single" w:color="auto" w:sz="4" w:space="0"/>
              <w:right w:val="single" w:color="auto" w:sz="4" w:space="0"/>
            </w:tcBorders>
            <w:vAlign w:val="center"/>
          </w:tcPr>
          <w:p w14:paraId="23FCB4FD">
            <w:pPr>
              <w:widowControl w:val="0"/>
              <w:spacing w:line="360" w:lineRule="exact"/>
              <w:ind w:firstLine="0" w:firstLineChars="0"/>
              <w:rPr>
                <w:rFonts w:hAnsi="仿宋"/>
                <w:bCs/>
                <w:snapToGrid/>
                <w:kern w:val="2"/>
                <w:sz w:val="24"/>
                <w:szCs w:val="22"/>
              </w:rPr>
            </w:pPr>
          </w:p>
        </w:tc>
      </w:tr>
      <w:tr w14:paraId="0863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5000" w:type="pct"/>
            <w:gridSpan w:val="4"/>
            <w:tcBorders>
              <w:top w:val="single" w:color="auto" w:sz="4" w:space="0"/>
              <w:left w:val="single" w:color="auto" w:sz="4" w:space="0"/>
              <w:bottom w:val="single" w:color="auto" w:sz="4" w:space="0"/>
              <w:right w:val="single" w:color="auto" w:sz="4" w:space="0"/>
            </w:tcBorders>
          </w:tcPr>
          <w:p w14:paraId="715E93D0">
            <w:pPr>
              <w:widowControl w:val="0"/>
              <w:spacing w:line="360" w:lineRule="exact"/>
              <w:ind w:firstLine="0" w:firstLineChars="0"/>
              <w:jc w:val="both"/>
              <w:rPr>
                <w:rFonts w:hAnsi="仿宋"/>
                <w:snapToGrid/>
                <w:kern w:val="2"/>
                <w:sz w:val="24"/>
                <w:szCs w:val="28"/>
                <w:lang w:val="en-GB"/>
              </w:rPr>
            </w:pPr>
            <w:r>
              <w:rPr>
                <w:rFonts w:hint="eastAsia" w:hAnsi="仿宋"/>
                <w:snapToGrid/>
                <w:kern w:val="2"/>
                <w:sz w:val="24"/>
                <w:szCs w:val="28"/>
                <w:lang w:val="en-GB"/>
              </w:rPr>
              <w:t>银行间市场清算所股份有限公司：</w:t>
            </w:r>
          </w:p>
          <w:p w14:paraId="4707D807">
            <w:pPr>
              <w:widowControl w:val="0"/>
              <w:spacing w:line="360" w:lineRule="exact"/>
              <w:ind w:firstLine="480"/>
              <w:jc w:val="both"/>
              <w:rPr>
                <w:rFonts w:ascii="Calibri"/>
                <w:snapToGrid/>
                <w:kern w:val="2"/>
                <w:sz w:val="24"/>
                <w:szCs w:val="22"/>
              </w:rPr>
            </w:pPr>
            <w:r>
              <w:rPr>
                <w:rFonts w:hint="eastAsia" w:hAnsi="仿宋"/>
                <w:snapToGrid/>
                <w:kern w:val="2"/>
                <w:sz w:val="24"/>
                <w:szCs w:val="28"/>
                <w:lang w:val="en-GB"/>
              </w:rPr>
              <w:t>经借贷双方协商一致，现向贵公司申请提前终止上述到期结算指令，并授权贵公司在提前终止日按结算双方协商确认的上述终止日结算金额作为新生成到期结算指令的结算金额。待新生成到期结算指令结算成功后，请贵公司同步办理相关质押券解押（若有）操作或标的券过户操作。我单位明确现已满足银行间债券市场相关监管机构、自律组织有关提前终止相关结算指令的所有前置要求，相关申请材料真实、准确、有效、完整，并按照规定办理相关手续，因以上信息不实造成的一切法律后果由我单位自行承担。</w:t>
            </w:r>
          </w:p>
        </w:tc>
      </w:tr>
      <w:tr w14:paraId="3B9F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8" w:hRule="atLeast"/>
          <w:jc w:val="center"/>
        </w:trPr>
        <w:tc>
          <w:tcPr>
            <w:tcW w:w="2492" w:type="pct"/>
            <w:gridSpan w:val="2"/>
            <w:tcBorders>
              <w:top w:val="single" w:color="auto" w:sz="4" w:space="0"/>
              <w:left w:val="single" w:color="auto" w:sz="4" w:space="0"/>
              <w:bottom w:val="single" w:color="auto" w:sz="4" w:space="0"/>
              <w:right w:val="single" w:color="auto" w:sz="4" w:space="0"/>
            </w:tcBorders>
            <w:vAlign w:val="center"/>
          </w:tcPr>
          <w:p w14:paraId="651CFCF6">
            <w:pPr>
              <w:widowControl w:val="0"/>
              <w:spacing w:line="360" w:lineRule="exact"/>
              <w:ind w:firstLine="0" w:firstLineChars="0"/>
              <w:jc w:val="center"/>
              <w:rPr>
                <w:rFonts w:ascii="Calibri"/>
                <w:b/>
                <w:snapToGrid/>
                <w:kern w:val="2"/>
                <w:sz w:val="24"/>
                <w:szCs w:val="22"/>
              </w:rPr>
            </w:pPr>
            <w:r>
              <w:rPr>
                <w:rFonts w:hint="eastAsia" w:ascii="Calibri"/>
                <w:b/>
                <w:snapToGrid/>
                <w:kern w:val="2"/>
                <w:sz w:val="24"/>
                <w:szCs w:val="22"/>
              </w:rPr>
              <w:t>债券融入方单位公章或预留印鉴</w:t>
            </w:r>
          </w:p>
          <w:p w14:paraId="791429B5">
            <w:pPr>
              <w:widowControl w:val="0"/>
              <w:spacing w:line="360" w:lineRule="exact"/>
              <w:ind w:firstLine="0" w:firstLineChars="0"/>
              <w:jc w:val="both"/>
              <w:rPr>
                <w:rFonts w:ascii="Calibri"/>
                <w:snapToGrid/>
                <w:kern w:val="2"/>
                <w:sz w:val="24"/>
                <w:szCs w:val="22"/>
              </w:rPr>
            </w:pPr>
          </w:p>
          <w:p w14:paraId="3C9F29A6">
            <w:pPr>
              <w:widowControl w:val="0"/>
              <w:spacing w:line="360" w:lineRule="exact"/>
              <w:ind w:firstLine="0" w:firstLineChars="0"/>
              <w:jc w:val="both"/>
              <w:rPr>
                <w:rFonts w:ascii="Calibri"/>
                <w:snapToGrid/>
                <w:kern w:val="2"/>
                <w:sz w:val="24"/>
                <w:szCs w:val="22"/>
              </w:rPr>
            </w:pPr>
          </w:p>
          <w:p w14:paraId="615DD071">
            <w:pPr>
              <w:widowControl w:val="0"/>
              <w:spacing w:line="360" w:lineRule="exact"/>
              <w:ind w:firstLine="0" w:firstLineChars="0"/>
              <w:jc w:val="both"/>
              <w:rPr>
                <w:rFonts w:ascii="Calibri"/>
                <w:snapToGrid/>
                <w:kern w:val="2"/>
                <w:sz w:val="24"/>
                <w:szCs w:val="22"/>
              </w:rPr>
            </w:pPr>
          </w:p>
          <w:p w14:paraId="70B2AB42">
            <w:pPr>
              <w:widowControl w:val="0"/>
              <w:spacing w:line="360" w:lineRule="exact"/>
              <w:ind w:firstLine="0" w:firstLineChars="0"/>
              <w:jc w:val="both"/>
              <w:rPr>
                <w:rFonts w:ascii="Calibri"/>
                <w:snapToGrid/>
                <w:kern w:val="2"/>
                <w:sz w:val="24"/>
                <w:szCs w:val="22"/>
              </w:rPr>
            </w:pPr>
          </w:p>
          <w:p w14:paraId="03C7DC7C">
            <w:pPr>
              <w:widowControl w:val="0"/>
              <w:spacing w:line="360" w:lineRule="exact"/>
              <w:ind w:firstLine="0" w:firstLineChars="0"/>
              <w:jc w:val="both"/>
              <w:rPr>
                <w:rFonts w:ascii="Calibri"/>
                <w:snapToGrid/>
                <w:kern w:val="2"/>
                <w:sz w:val="24"/>
                <w:szCs w:val="22"/>
              </w:rPr>
            </w:pPr>
          </w:p>
          <w:p w14:paraId="6038D949">
            <w:pPr>
              <w:widowControl w:val="0"/>
              <w:spacing w:line="360" w:lineRule="exact"/>
              <w:ind w:firstLine="0" w:firstLineChars="0"/>
              <w:jc w:val="both"/>
              <w:rPr>
                <w:rFonts w:ascii="Calibri"/>
                <w:snapToGrid/>
                <w:kern w:val="2"/>
                <w:sz w:val="24"/>
                <w:szCs w:val="22"/>
              </w:rPr>
            </w:pPr>
          </w:p>
          <w:p w14:paraId="357D0EF8">
            <w:pPr>
              <w:widowControl w:val="0"/>
              <w:spacing w:line="360" w:lineRule="exact"/>
              <w:ind w:firstLine="0" w:firstLineChars="0"/>
              <w:jc w:val="right"/>
              <w:rPr>
                <w:rFonts w:ascii="Calibri"/>
                <w:b/>
                <w:bCs/>
                <w:snapToGrid/>
                <w:kern w:val="2"/>
                <w:sz w:val="24"/>
                <w:szCs w:val="22"/>
              </w:rPr>
            </w:pPr>
            <w:r>
              <w:rPr>
                <w:rFonts w:hint="eastAsia" w:ascii="Calibri"/>
                <w:snapToGrid/>
                <w:kern w:val="2"/>
                <w:sz w:val="24"/>
                <w:szCs w:val="22"/>
              </w:rPr>
              <w:t xml:space="preserve">年 </w:t>
            </w:r>
            <w:r>
              <w:rPr>
                <w:rFonts w:ascii="Calibri"/>
                <w:snapToGrid/>
                <w:kern w:val="2"/>
                <w:sz w:val="24"/>
                <w:szCs w:val="22"/>
              </w:rPr>
              <w:t xml:space="preserve">    </w:t>
            </w:r>
            <w:r>
              <w:rPr>
                <w:rFonts w:hint="eastAsia" w:ascii="Calibri"/>
                <w:snapToGrid/>
                <w:kern w:val="2"/>
                <w:sz w:val="24"/>
                <w:szCs w:val="22"/>
              </w:rPr>
              <w:t xml:space="preserve">月 </w:t>
            </w:r>
            <w:r>
              <w:rPr>
                <w:rFonts w:ascii="Calibri"/>
                <w:snapToGrid/>
                <w:kern w:val="2"/>
                <w:sz w:val="24"/>
                <w:szCs w:val="22"/>
              </w:rPr>
              <w:t xml:space="preserve">   </w:t>
            </w:r>
            <w:r>
              <w:rPr>
                <w:rFonts w:hint="eastAsia" w:ascii="Calibri"/>
                <w:snapToGrid/>
                <w:kern w:val="2"/>
                <w:sz w:val="24"/>
                <w:szCs w:val="22"/>
              </w:rPr>
              <w:t>日</w:t>
            </w:r>
          </w:p>
        </w:tc>
        <w:tc>
          <w:tcPr>
            <w:tcW w:w="2508" w:type="pct"/>
            <w:gridSpan w:val="2"/>
            <w:tcBorders>
              <w:top w:val="single" w:color="auto" w:sz="4" w:space="0"/>
              <w:left w:val="single" w:color="auto" w:sz="4" w:space="0"/>
              <w:bottom w:val="single" w:color="auto" w:sz="4" w:space="0"/>
              <w:right w:val="single" w:color="auto" w:sz="4" w:space="0"/>
            </w:tcBorders>
            <w:vAlign w:val="center"/>
          </w:tcPr>
          <w:p w14:paraId="23F9D9A3">
            <w:pPr>
              <w:widowControl w:val="0"/>
              <w:spacing w:line="360" w:lineRule="exact"/>
              <w:ind w:firstLine="0" w:firstLineChars="0"/>
              <w:jc w:val="center"/>
              <w:rPr>
                <w:rFonts w:ascii="Calibri"/>
                <w:b/>
                <w:snapToGrid/>
                <w:kern w:val="2"/>
                <w:sz w:val="24"/>
                <w:szCs w:val="22"/>
              </w:rPr>
            </w:pPr>
            <w:r>
              <w:rPr>
                <w:rFonts w:hint="eastAsia" w:hAnsi="仿宋"/>
                <w:b/>
                <w:snapToGrid/>
                <w:kern w:val="2"/>
                <w:sz w:val="24"/>
                <w:szCs w:val="22"/>
              </w:rPr>
              <w:t>债券融出方</w:t>
            </w:r>
            <w:r>
              <w:rPr>
                <w:rFonts w:hint="eastAsia" w:ascii="Calibri"/>
                <w:b/>
                <w:snapToGrid/>
                <w:kern w:val="2"/>
                <w:sz w:val="24"/>
                <w:szCs w:val="22"/>
              </w:rPr>
              <w:t>单位公章或预留印鉴</w:t>
            </w:r>
          </w:p>
          <w:p w14:paraId="2E7DA9BE">
            <w:pPr>
              <w:widowControl w:val="0"/>
              <w:spacing w:line="360" w:lineRule="exact"/>
              <w:ind w:firstLine="0" w:firstLineChars="0"/>
              <w:jc w:val="both"/>
              <w:rPr>
                <w:rFonts w:ascii="Calibri"/>
                <w:snapToGrid/>
                <w:kern w:val="2"/>
                <w:sz w:val="24"/>
                <w:szCs w:val="22"/>
              </w:rPr>
            </w:pPr>
          </w:p>
          <w:p w14:paraId="7344A7F6">
            <w:pPr>
              <w:widowControl w:val="0"/>
              <w:spacing w:line="360" w:lineRule="exact"/>
              <w:ind w:firstLine="0" w:firstLineChars="0"/>
              <w:jc w:val="both"/>
              <w:rPr>
                <w:rFonts w:ascii="Calibri"/>
                <w:snapToGrid/>
                <w:kern w:val="2"/>
                <w:sz w:val="24"/>
                <w:szCs w:val="22"/>
              </w:rPr>
            </w:pPr>
          </w:p>
          <w:p w14:paraId="73311941">
            <w:pPr>
              <w:widowControl w:val="0"/>
              <w:spacing w:line="360" w:lineRule="exact"/>
              <w:ind w:firstLine="0" w:firstLineChars="0"/>
              <w:jc w:val="both"/>
              <w:rPr>
                <w:rFonts w:ascii="Calibri"/>
                <w:snapToGrid/>
                <w:kern w:val="2"/>
                <w:sz w:val="24"/>
                <w:szCs w:val="22"/>
              </w:rPr>
            </w:pPr>
          </w:p>
          <w:p w14:paraId="48CBB5D7">
            <w:pPr>
              <w:widowControl w:val="0"/>
              <w:spacing w:line="360" w:lineRule="exact"/>
              <w:ind w:firstLine="0" w:firstLineChars="0"/>
              <w:jc w:val="both"/>
              <w:rPr>
                <w:rFonts w:ascii="Calibri"/>
                <w:snapToGrid/>
                <w:kern w:val="2"/>
                <w:sz w:val="24"/>
                <w:szCs w:val="22"/>
              </w:rPr>
            </w:pPr>
          </w:p>
          <w:p w14:paraId="2C60F453">
            <w:pPr>
              <w:widowControl w:val="0"/>
              <w:spacing w:line="360" w:lineRule="exact"/>
              <w:ind w:firstLine="0" w:firstLineChars="0"/>
              <w:jc w:val="both"/>
              <w:rPr>
                <w:rFonts w:ascii="Calibri"/>
                <w:snapToGrid/>
                <w:kern w:val="2"/>
                <w:sz w:val="24"/>
                <w:szCs w:val="22"/>
              </w:rPr>
            </w:pPr>
          </w:p>
          <w:p w14:paraId="5860E31E">
            <w:pPr>
              <w:widowControl w:val="0"/>
              <w:spacing w:line="360" w:lineRule="exact"/>
              <w:ind w:firstLine="0" w:firstLineChars="0"/>
              <w:jc w:val="both"/>
              <w:rPr>
                <w:rFonts w:ascii="Calibri"/>
                <w:snapToGrid/>
                <w:kern w:val="2"/>
                <w:sz w:val="24"/>
                <w:szCs w:val="22"/>
              </w:rPr>
            </w:pPr>
          </w:p>
          <w:p w14:paraId="26B78BF9">
            <w:pPr>
              <w:widowControl w:val="0"/>
              <w:spacing w:line="360" w:lineRule="exact"/>
              <w:ind w:firstLine="0" w:firstLineChars="0"/>
              <w:jc w:val="right"/>
              <w:rPr>
                <w:rFonts w:ascii="Calibri"/>
                <w:b/>
                <w:bCs/>
                <w:snapToGrid/>
                <w:kern w:val="2"/>
                <w:sz w:val="24"/>
                <w:szCs w:val="22"/>
              </w:rPr>
            </w:pPr>
            <w:r>
              <w:rPr>
                <w:rFonts w:hint="eastAsia" w:ascii="Calibri"/>
                <w:snapToGrid/>
                <w:kern w:val="2"/>
                <w:sz w:val="24"/>
                <w:szCs w:val="22"/>
              </w:rPr>
              <w:t xml:space="preserve">年 </w:t>
            </w:r>
            <w:r>
              <w:rPr>
                <w:rFonts w:ascii="Calibri"/>
                <w:snapToGrid/>
                <w:kern w:val="2"/>
                <w:sz w:val="24"/>
                <w:szCs w:val="22"/>
              </w:rPr>
              <w:t xml:space="preserve">    </w:t>
            </w:r>
            <w:r>
              <w:rPr>
                <w:rFonts w:hint="eastAsia" w:ascii="Calibri"/>
                <w:snapToGrid/>
                <w:kern w:val="2"/>
                <w:sz w:val="24"/>
                <w:szCs w:val="22"/>
              </w:rPr>
              <w:t xml:space="preserve">月 </w:t>
            </w:r>
            <w:r>
              <w:rPr>
                <w:rFonts w:ascii="Calibri"/>
                <w:snapToGrid/>
                <w:kern w:val="2"/>
                <w:sz w:val="24"/>
                <w:szCs w:val="22"/>
              </w:rPr>
              <w:t xml:space="preserve">   </w:t>
            </w:r>
            <w:r>
              <w:rPr>
                <w:rFonts w:hint="eastAsia" w:ascii="Calibri"/>
                <w:snapToGrid/>
                <w:kern w:val="2"/>
                <w:sz w:val="24"/>
                <w:szCs w:val="22"/>
              </w:rPr>
              <w:t>日</w:t>
            </w:r>
          </w:p>
        </w:tc>
      </w:tr>
    </w:tbl>
    <w:p w14:paraId="25F008B2">
      <w:pPr>
        <w:widowControl w:val="0"/>
        <w:spacing w:line="240" w:lineRule="auto"/>
        <w:ind w:firstLine="0" w:firstLineChars="0"/>
        <w:rPr>
          <w:rFonts w:ascii="Calibri"/>
          <w:snapToGrid/>
          <w:kern w:val="2"/>
          <w:sz w:val="24"/>
          <w:szCs w:val="22"/>
        </w:rPr>
      </w:pPr>
      <w:r>
        <w:rPr>
          <w:rFonts w:hint="eastAsia" w:ascii="Calibri"/>
          <w:b/>
          <w:snapToGrid/>
          <w:kern w:val="2"/>
          <w:sz w:val="24"/>
          <w:szCs w:val="22"/>
        </w:rPr>
        <w:t>填表说明</w:t>
      </w:r>
      <w:r>
        <w:rPr>
          <w:rFonts w:hint="eastAsia" w:hAnsi="仿宋"/>
          <w:b/>
          <w:bCs/>
          <w:snapToGrid/>
          <w:kern w:val="2"/>
          <w:sz w:val="24"/>
          <w:szCs w:val="22"/>
        </w:rPr>
        <w:t>（该填表说明可无需打印</w:t>
      </w:r>
      <w:r>
        <w:rPr>
          <w:rFonts w:hAnsi="仿宋"/>
          <w:b/>
          <w:bCs/>
          <w:snapToGrid/>
          <w:kern w:val="2"/>
          <w:sz w:val="24"/>
          <w:szCs w:val="22"/>
        </w:rPr>
        <w:t>）</w:t>
      </w:r>
      <w:r>
        <w:rPr>
          <w:rFonts w:hint="eastAsia" w:ascii="Calibri"/>
          <w:b/>
          <w:snapToGrid/>
          <w:kern w:val="2"/>
          <w:sz w:val="24"/>
          <w:szCs w:val="22"/>
        </w:rPr>
        <w:t>：</w:t>
      </w:r>
      <w:r>
        <w:rPr>
          <w:rFonts w:ascii="Calibri"/>
          <w:snapToGrid/>
          <w:kern w:val="2"/>
          <w:sz w:val="24"/>
          <w:szCs w:val="22"/>
        </w:rPr>
        <w:t xml:space="preserve"> </w:t>
      </w:r>
    </w:p>
    <w:p w14:paraId="46EFA85A">
      <w:pPr>
        <w:widowControl w:val="0"/>
        <w:numPr>
          <w:ilvl w:val="0"/>
          <w:numId w:val="1"/>
        </w:numPr>
        <w:spacing w:line="240" w:lineRule="auto"/>
        <w:ind w:firstLine="0" w:firstLineChars="0"/>
        <w:jc w:val="both"/>
        <w:rPr>
          <w:rFonts w:hAnsi="仿宋"/>
          <w:snapToGrid/>
          <w:kern w:val="2"/>
          <w:sz w:val="24"/>
          <w:szCs w:val="22"/>
        </w:rPr>
      </w:pPr>
      <w:r>
        <w:rPr>
          <w:rFonts w:hint="eastAsia" w:hAnsi="仿宋"/>
          <w:snapToGrid/>
          <w:kern w:val="2"/>
          <w:sz w:val="24"/>
          <w:szCs w:val="22"/>
        </w:rPr>
        <w:t>若发生借贷交易主协议相关条款认定的终止事件，借贷双方协商一致后，不晚于计划提前终止结算日前3个工作日中午12:00之前</w:t>
      </w:r>
      <w:r>
        <w:rPr>
          <w:rFonts w:hint="eastAsia" w:hAnsi="仿宋"/>
          <w:snapToGrid/>
          <w:kern w:val="2"/>
          <w:sz w:val="24"/>
          <w:szCs w:val="22"/>
          <w:lang w:eastAsia="zh-CN"/>
        </w:rPr>
        <w:t>，通过电子邮件方式</w:t>
      </w:r>
      <w:r>
        <w:rPr>
          <w:rFonts w:hint="eastAsia" w:hAnsi="仿宋"/>
          <w:snapToGrid/>
          <w:kern w:val="2"/>
          <w:sz w:val="24"/>
          <w:szCs w:val="22"/>
        </w:rPr>
        <w:t>向上海清算所运营部清算团队提交《债券借贷到期提前终止申请表》</w:t>
      </w:r>
      <w:r>
        <w:rPr>
          <w:rFonts w:hAnsi="仿宋"/>
          <w:snapToGrid/>
          <w:kern w:val="2"/>
          <w:sz w:val="24"/>
          <w:szCs w:val="22"/>
        </w:rPr>
        <w:t>PDF格式电子盖章扫描件</w:t>
      </w:r>
      <w:r>
        <w:rPr>
          <w:rFonts w:hint="eastAsia" w:hAnsi="仿宋"/>
          <w:snapToGrid/>
          <w:kern w:val="2"/>
          <w:sz w:val="24"/>
          <w:szCs w:val="22"/>
        </w:rPr>
        <w:t>办理提前终止业务。</w:t>
      </w:r>
    </w:p>
    <w:p w14:paraId="3B455E74">
      <w:pPr>
        <w:widowControl w:val="0"/>
        <w:numPr>
          <w:ilvl w:val="0"/>
          <w:numId w:val="1"/>
        </w:numPr>
        <w:spacing w:line="240" w:lineRule="auto"/>
        <w:ind w:firstLine="0" w:firstLineChars="0"/>
        <w:jc w:val="both"/>
        <w:rPr>
          <w:rFonts w:hAnsi="仿宋"/>
          <w:snapToGrid/>
          <w:kern w:val="2"/>
          <w:sz w:val="24"/>
          <w:szCs w:val="22"/>
        </w:rPr>
      </w:pPr>
      <w:r>
        <w:rPr>
          <w:rFonts w:hint="eastAsia" w:hAnsi="仿宋"/>
          <w:snapToGrid/>
          <w:kern w:val="2"/>
          <w:sz w:val="24"/>
          <w:szCs w:val="22"/>
        </w:rPr>
        <w:t>对于跨机构借贷，仅当上海清算所作为该笔跨机构借贷对应标的券托管机构时，上海清算所运营部清算团队负责接收借贷双方所提交的《债券借贷到期提前终止申请表》PDF格式盖章扫描件。</w:t>
      </w:r>
    </w:p>
    <w:p w14:paraId="55C908F5">
      <w:pPr>
        <w:widowControl w:val="0"/>
        <w:spacing w:line="240" w:lineRule="auto"/>
        <w:ind w:firstLine="0" w:firstLineChars="0"/>
        <w:jc w:val="both"/>
        <w:rPr>
          <w:rFonts w:hAnsi="仿宋"/>
          <w:snapToGrid/>
          <w:kern w:val="2"/>
          <w:sz w:val="24"/>
          <w:szCs w:val="22"/>
        </w:rPr>
      </w:pPr>
    </w:p>
    <w:p w14:paraId="0F1A91D7">
      <w:pPr>
        <w:widowControl w:val="0"/>
        <w:spacing w:line="240" w:lineRule="auto"/>
        <w:ind w:firstLine="0" w:firstLineChars="0"/>
        <w:jc w:val="both"/>
        <w:rPr>
          <w:rFonts w:hAnsi="仿宋"/>
          <w:b/>
          <w:snapToGrid/>
          <w:kern w:val="2"/>
          <w:sz w:val="24"/>
          <w:szCs w:val="22"/>
        </w:rPr>
      </w:pPr>
      <w:r>
        <w:rPr>
          <w:rFonts w:hint="eastAsia" w:hAnsi="仿宋"/>
          <w:b/>
          <w:snapToGrid/>
          <w:kern w:val="2"/>
          <w:sz w:val="24"/>
          <w:szCs w:val="22"/>
        </w:rPr>
        <w:t>客户服务中心联系电话（负责日常业务问题解答）：</w:t>
      </w:r>
      <w:r>
        <w:rPr>
          <w:rFonts w:hAnsi="仿宋"/>
          <w:snapToGrid/>
          <w:kern w:val="2"/>
          <w:sz w:val="24"/>
          <w:szCs w:val="22"/>
        </w:rPr>
        <w:t>400-820-0002</w:t>
      </w:r>
    </w:p>
    <w:p w14:paraId="4E75B720">
      <w:pPr>
        <w:widowControl w:val="0"/>
        <w:spacing w:line="240" w:lineRule="auto"/>
        <w:ind w:firstLine="0" w:firstLineChars="0"/>
        <w:jc w:val="both"/>
        <w:rPr>
          <w:rFonts w:hAnsi="仿宋"/>
          <w:b/>
          <w:bCs/>
          <w:snapToGrid/>
          <w:kern w:val="2"/>
          <w:sz w:val="24"/>
          <w:szCs w:val="36"/>
        </w:rPr>
      </w:pPr>
      <w:r>
        <w:rPr>
          <w:rFonts w:hint="eastAsia" w:hAnsi="仿宋"/>
          <w:b/>
          <w:bCs/>
          <w:snapToGrid/>
          <w:kern w:val="2"/>
          <w:sz w:val="24"/>
          <w:szCs w:val="36"/>
        </w:rPr>
        <w:t>运营咨询联系方式（负责材料受理及系统操作）：</w:t>
      </w:r>
    </w:p>
    <w:p w14:paraId="5F805B9A">
      <w:pPr>
        <w:widowControl w:val="0"/>
        <w:spacing w:line="240" w:lineRule="auto"/>
        <w:ind w:firstLine="0" w:firstLineChars="0"/>
        <w:jc w:val="both"/>
        <w:rPr>
          <w:rFonts w:hint="eastAsia" w:hAnsi="仿宋"/>
          <w:snapToGrid/>
          <w:kern w:val="2"/>
          <w:sz w:val="24"/>
          <w:szCs w:val="22"/>
        </w:rPr>
      </w:pPr>
      <w:r>
        <w:rPr>
          <w:rFonts w:hAnsi="仿宋"/>
          <w:snapToGrid/>
          <w:kern w:val="2"/>
          <w:sz w:val="24"/>
          <w:szCs w:val="22"/>
        </w:rPr>
        <w:t>上海清算所运营部</w:t>
      </w:r>
      <w:r>
        <w:rPr>
          <w:rFonts w:hint="eastAsia" w:hAnsi="仿宋"/>
          <w:snapToGrid/>
          <w:kern w:val="2"/>
          <w:sz w:val="24"/>
          <w:szCs w:val="22"/>
        </w:rPr>
        <w:t>清算团队邮箱：fund@shclearing.com.cn</w:t>
      </w:r>
      <w:r>
        <w:rPr>
          <w:rStyle w:val="21"/>
          <w:rFonts w:hint="eastAsia" w:hAnsi="仿宋"/>
          <w:snapToGrid/>
          <w:color w:val="auto"/>
          <w:kern w:val="2"/>
          <w:sz w:val="24"/>
          <w:szCs w:val="22"/>
        </w:rPr>
        <w:br w:type="page"/>
      </w:r>
    </w:p>
    <w:p w14:paraId="56294B89">
      <w:pPr>
        <w:pStyle w:val="32"/>
        <w:keepNext w:val="0"/>
        <w:keepLines w:val="0"/>
        <w:widowControl/>
        <w:topLinePunct/>
        <w:ind w:firstLine="0" w:firstLineChars="0"/>
        <w:rPr>
          <w:rFonts w:ascii="仿宋" w:hAnsi="仿宋" w:eastAsia="仿宋"/>
          <w:b w:val="0"/>
          <w:bCs w:val="0"/>
        </w:rPr>
      </w:pPr>
      <w:bookmarkStart w:id="91" w:name="_Toc359086172"/>
      <w:bookmarkStart w:id="92" w:name="_Toc1509022104"/>
      <w:bookmarkStart w:id="93" w:name="_Toc1578955378"/>
      <w:bookmarkStart w:id="94" w:name="_Toc700482929"/>
      <w:bookmarkStart w:id="95" w:name="_Toc522745680"/>
      <w:bookmarkStart w:id="96" w:name="_Toc646830673"/>
      <w:bookmarkStart w:id="97" w:name="_Toc231143359"/>
      <w:r>
        <w:rPr>
          <w:rFonts w:ascii="仿宋" w:hAnsi="仿宋" w:eastAsia="仿宋"/>
          <w:b w:val="0"/>
          <w:bCs w:val="0"/>
        </w:rPr>
        <w:t>附件2</w:t>
      </w:r>
      <w:bookmarkEnd w:id="91"/>
      <w:bookmarkEnd w:id="92"/>
      <w:bookmarkEnd w:id="93"/>
      <w:bookmarkEnd w:id="94"/>
      <w:bookmarkEnd w:id="95"/>
      <w:bookmarkEnd w:id="96"/>
      <w:bookmarkEnd w:id="97"/>
    </w:p>
    <w:p w14:paraId="66F4F29E">
      <w:pPr>
        <w:widowControl w:val="0"/>
        <w:ind w:firstLine="0" w:firstLineChars="0"/>
        <w:contextualSpacing/>
        <w:jc w:val="center"/>
        <w:rPr>
          <w:rFonts w:ascii="黑体" w:hAnsi="黑体" w:eastAsia="黑体"/>
          <w:sz w:val="36"/>
          <w:szCs w:val="36"/>
          <w:lang w:val="en-GB"/>
        </w:rPr>
      </w:pPr>
      <w:r>
        <w:rPr>
          <w:rFonts w:hint="eastAsia" w:ascii="黑体" w:hAnsi="黑体" w:eastAsia="黑体"/>
          <w:sz w:val="36"/>
          <w:szCs w:val="36"/>
          <w:lang w:val="en-GB"/>
        </w:rPr>
        <w:t>银行间市场清算所股份有限公司</w:t>
      </w:r>
    </w:p>
    <w:p w14:paraId="5A54C237">
      <w:pPr>
        <w:ind w:firstLine="0" w:firstLineChars="0"/>
        <w:jc w:val="center"/>
        <w:rPr>
          <w:lang w:val="en-GB"/>
        </w:rPr>
      </w:pPr>
      <w:r>
        <w:rPr>
          <w:rFonts w:hint="eastAsia" w:ascii="黑体" w:hAnsi="黑体" w:eastAsia="黑体"/>
          <w:sz w:val="36"/>
          <w:szCs w:val="36"/>
          <w:lang w:val="en-GB"/>
        </w:rPr>
        <w:t>到期结算现金交割业务应急指令书</w:t>
      </w:r>
    </w:p>
    <w:tbl>
      <w:tblPr>
        <w:tblStyle w:val="18"/>
        <w:tblW w:w="10060" w:type="dxa"/>
        <w:jc w:val="center"/>
        <w:tblLayout w:type="autofit"/>
        <w:tblCellMar>
          <w:top w:w="0" w:type="dxa"/>
          <w:left w:w="108" w:type="dxa"/>
          <w:bottom w:w="0" w:type="dxa"/>
          <w:right w:w="108" w:type="dxa"/>
        </w:tblCellMar>
      </w:tblPr>
      <w:tblGrid>
        <w:gridCol w:w="4124"/>
        <w:gridCol w:w="906"/>
        <w:gridCol w:w="5030"/>
      </w:tblGrid>
      <w:tr w14:paraId="6C3739C8">
        <w:tblPrEx>
          <w:tblCellMar>
            <w:top w:w="0" w:type="dxa"/>
            <w:left w:w="108" w:type="dxa"/>
            <w:bottom w:w="0" w:type="dxa"/>
            <w:right w:w="108" w:type="dxa"/>
          </w:tblCellMar>
        </w:tblPrEx>
        <w:trPr>
          <w:jc w:val="center"/>
        </w:trPr>
        <w:tc>
          <w:tcPr>
            <w:tcW w:w="4124" w:type="dxa"/>
            <w:tcBorders>
              <w:top w:val="single" w:color="auto" w:sz="4" w:space="0"/>
              <w:left w:val="single" w:color="auto" w:sz="4" w:space="0"/>
              <w:bottom w:val="single" w:color="auto" w:sz="4" w:space="0"/>
              <w:right w:val="single" w:color="auto" w:sz="4" w:space="0"/>
            </w:tcBorders>
            <w:vAlign w:val="center"/>
          </w:tcPr>
          <w:p w14:paraId="56658C3F">
            <w:pPr>
              <w:widowControl w:val="0"/>
              <w:spacing w:line="240" w:lineRule="auto"/>
              <w:ind w:firstLine="0" w:firstLineChars="0"/>
              <w:rPr>
                <w:rFonts w:hAnsi="仿宋"/>
                <w:sz w:val="24"/>
                <w:szCs w:val="24"/>
                <w:lang w:val="en-GB"/>
              </w:rPr>
            </w:pPr>
            <w:r>
              <w:rPr>
                <w:rFonts w:hAnsi="仿宋"/>
                <w:sz w:val="24"/>
                <w:szCs w:val="24"/>
                <w:lang w:val="en-GB"/>
              </w:rPr>
              <w:t>交易类型</w:t>
            </w:r>
          </w:p>
        </w:tc>
        <w:tc>
          <w:tcPr>
            <w:tcW w:w="5936" w:type="dxa"/>
            <w:gridSpan w:val="2"/>
            <w:tcBorders>
              <w:top w:val="single" w:color="auto" w:sz="4" w:space="0"/>
              <w:left w:val="single" w:color="auto" w:sz="4" w:space="0"/>
              <w:bottom w:val="single" w:color="auto" w:sz="4" w:space="0"/>
              <w:right w:val="single" w:color="auto" w:sz="4" w:space="0"/>
            </w:tcBorders>
          </w:tcPr>
          <w:p w14:paraId="643227C8">
            <w:pPr>
              <w:spacing w:line="240" w:lineRule="auto"/>
              <w:ind w:left="0" w:leftChars="0" w:firstLine="0" w:firstLineChars="0"/>
              <w:rPr>
                <w:rFonts w:hAnsi="仿宋"/>
                <w:sz w:val="24"/>
                <w:szCs w:val="24"/>
                <w:lang w:val="en-GB"/>
              </w:rPr>
            </w:pPr>
            <w:r>
              <w:rPr>
                <w:rFonts w:hint="eastAsia" w:hAnsi="仿宋"/>
                <w:sz w:val="24"/>
                <w:szCs w:val="24"/>
                <w:lang w:val="en-GB" w:eastAsia="zh-CN"/>
              </w:rPr>
              <w:t>□</w:t>
            </w:r>
            <w:r>
              <w:rPr>
                <w:rFonts w:hint="eastAsia" w:hAnsi="仿宋"/>
                <w:sz w:val="24"/>
                <w:szCs w:val="24"/>
                <w:lang w:val="en-GB"/>
              </w:rPr>
              <w:t>买断式回购</w:t>
            </w:r>
            <w:r>
              <w:rPr>
                <w:rFonts w:hint="eastAsia" w:hAnsi="仿宋"/>
                <w:sz w:val="24"/>
                <w:szCs w:val="24"/>
                <w:lang w:val="en-US" w:eastAsia="zh-CN"/>
              </w:rPr>
              <w:t xml:space="preserve">                   </w:t>
            </w:r>
            <w:r>
              <w:rPr>
                <w:rFonts w:hint="eastAsia" w:hAnsi="仿宋"/>
                <w:sz w:val="24"/>
                <w:szCs w:val="24"/>
                <w:lang w:val="en-GB" w:eastAsia="zh-CN"/>
              </w:rPr>
              <w:t>□</w:t>
            </w:r>
            <w:r>
              <w:rPr>
                <w:rFonts w:hint="eastAsia" w:hAnsi="仿宋"/>
                <w:sz w:val="24"/>
                <w:szCs w:val="24"/>
                <w:lang w:val="en-GB"/>
              </w:rPr>
              <w:t>债券借贷</w:t>
            </w:r>
          </w:p>
          <w:p w14:paraId="5BC75901">
            <w:pPr>
              <w:widowControl w:val="0"/>
              <w:spacing w:line="240" w:lineRule="auto"/>
              <w:ind w:firstLine="0" w:firstLineChars="0"/>
              <w:rPr>
                <w:rFonts w:hAnsi="仿宋"/>
                <w:sz w:val="24"/>
                <w:szCs w:val="24"/>
                <w:lang w:val="en-GB"/>
              </w:rPr>
            </w:pPr>
            <w:r>
              <w:rPr>
                <w:rFonts w:hint="eastAsia" w:hAnsi="仿宋"/>
                <w:sz w:val="24"/>
                <w:szCs w:val="24"/>
                <w:lang w:val="en-GB"/>
              </w:rPr>
              <w:t>□跨托管机构债券借贷（仅适用于上海清算所为标的券托管机构的场景）</w:t>
            </w:r>
          </w:p>
        </w:tc>
      </w:tr>
      <w:tr w14:paraId="74D4916C">
        <w:tblPrEx>
          <w:tblCellMar>
            <w:top w:w="0" w:type="dxa"/>
            <w:left w:w="108" w:type="dxa"/>
            <w:bottom w:w="0" w:type="dxa"/>
            <w:right w:w="108" w:type="dxa"/>
          </w:tblCellMar>
        </w:tblPrEx>
        <w:trPr>
          <w:jc w:val="center"/>
        </w:trPr>
        <w:tc>
          <w:tcPr>
            <w:tcW w:w="4124" w:type="dxa"/>
            <w:tcBorders>
              <w:top w:val="single" w:color="auto" w:sz="4" w:space="0"/>
              <w:left w:val="single" w:color="auto" w:sz="4" w:space="0"/>
              <w:bottom w:val="single" w:color="auto" w:sz="4" w:space="0"/>
              <w:right w:val="single" w:color="auto" w:sz="4" w:space="0"/>
            </w:tcBorders>
            <w:vAlign w:val="center"/>
          </w:tcPr>
          <w:p w14:paraId="79BC00D1">
            <w:pPr>
              <w:widowControl w:val="0"/>
              <w:spacing w:line="240" w:lineRule="auto"/>
              <w:ind w:firstLine="0" w:firstLineChars="0"/>
              <w:rPr>
                <w:rFonts w:hAnsi="仿宋"/>
                <w:sz w:val="24"/>
                <w:szCs w:val="24"/>
                <w:lang w:val="en-GB"/>
              </w:rPr>
            </w:pPr>
            <w:r>
              <w:rPr>
                <w:rFonts w:hint="eastAsia" w:hAnsi="仿宋"/>
                <w:sz w:val="24"/>
                <w:szCs w:val="24"/>
                <w:lang w:val="en-GB"/>
              </w:rPr>
              <w:t>业务应急类型</w:t>
            </w:r>
          </w:p>
        </w:tc>
        <w:tc>
          <w:tcPr>
            <w:tcW w:w="5936" w:type="dxa"/>
            <w:gridSpan w:val="2"/>
            <w:tcBorders>
              <w:top w:val="single" w:color="auto" w:sz="4" w:space="0"/>
              <w:left w:val="single" w:color="auto" w:sz="4" w:space="0"/>
              <w:bottom w:val="single" w:color="auto" w:sz="4" w:space="0"/>
              <w:right w:val="single" w:color="auto" w:sz="4" w:space="0"/>
            </w:tcBorders>
          </w:tcPr>
          <w:p w14:paraId="05B8B448">
            <w:pPr>
              <w:widowControl w:val="0"/>
              <w:spacing w:line="240" w:lineRule="auto"/>
              <w:ind w:firstLine="0" w:firstLineChars="0"/>
              <w:rPr>
                <w:rFonts w:hAnsi="仿宋"/>
                <w:sz w:val="24"/>
                <w:szCs w:val="24"/>
                <w:lang w:val="en-GB"/>
              </w:rPr>
            </w:pPr>
            <w:r>
              <w:rPr>
                <w:rFonts w:hint="eastAsia" w:hAnsi="仿宋"/>
                <w:sz w:val="24"/>
                <w:szCs w:val="24"/>
                <w:lang w:val="en-GB" w:eastAsia="zh-CN"/>
              </w:rPr>
              <w:t>□</w:t>
            </w:r>
            <w:r>
              <w:rPr>
                <w:rFonts w:hint="eastAsia" w:hAnsi="仿宋"/>
                <w:sz w:val="24"/>
                <w:szCs w:val="24"/>
                <w:lang w:val="en-GB"/>
              </w:rPr>
              <w:t>到期结算现金交割指令发起操作应急</w:t>
            </w:r>
          </w:p>
          <w:p w14:paraId="4938C4BB">
            <w:pPr>
              <w:widowControl w:val="0"/>
              <w:spacing w:line="240" w:lineRule="auto"/>
              <w:ind w:firstLine="0" w:firstLineChars="0"/>
              <w:rPr>
                <w:rFonts w:hAnsi="仿宋"/>
                <w:sz w:val="24"/>
                <w:szCs w:val="24"/>
                <w:lang w:val="en-GB"/>
              </w:rPr>
            </w:pPr>
            <w:r>
              <w:rPr>
                <w:rFonts w:hint="eastAsia" w:hAnsi="仿宋"/>
                <w:sz w:val="24"/>
                <w:szCs w:val="24"/>
                <w:lang w:val="en-GB"/>
              </w:rPr>
              <w:t>□到期结算现金交割指令确认操作应急</w:t>
            </w:r>
          </w:p>
        </w:tc>
      </w:tr>
      <w:tr w14:paraId="0559B088">
        <w:tblPrEx>
          <w:tblCellMar>
            <w:top w:w="0" w:type="dxa"/>
            <w:left w:w="108" w:type="dxa"/>
            <w:bottom w:w="0" w:type="dxa"/>
            <w:right w:w="108" w:type="dxa"/>
          </w:tblCellMar>
        </w:tblPrEx>
        <w:trPr>
          <w:jc w:val="center"/>
        </w:trPr>
        <w:tc>
          <w:tcPr>
            <w:tcW w:w="10060" w:type="dxa"/>
            <w:gridSpan w:val="3"/>
            <w:tcBorders>
              <w:left w:val="single" w:color="auto" w:sz="4" w:space="0"/>
              <w:bottom w:val="single" w:color="auto" w:sz="4" w:space="0"/>
              <w:right w:val="single" w:color="auto" w:sz="4" w:space="0"/>
            </w:tcBorders>
          </w:tcPr>
          <w:p w14:paraId="0EBC5B3B">
            <w:pPr>
              <w:widowControl w:val="0"/>
              <w:spacing w:line="240" w:lineRule="auto"/>
              <w:ind w:firstLine="0" w:firstLineChars="0"/>
              <w:rPr>
                <w:rFonts w:hAnsi="仿宋"/>
                <w:b/>
                <w:sz w:val="24"/>
                <w:szCs w:val="24"/>
                <w:lang w:val="en-GB"/>
              </w:rPr>
            </w:pPr>
            <w:r>
              <w:rPr>
                <w:rFonts w:hint="eastAsia" w:hAnsi="仿宋"/>
                <w:b/>
                <w:sz w:val="24"/>
                <w:szCs w:val="24"/>
                <w:lang w:val="en-GB"/>
              </w:rPr>
              <w:t>正回购方/债券融出方账户信息</w:t>
            </w:r>
            <w:r>
              <w:rPr>
                <w:rFonts w:hint="eastAsia" w:hAnsi="仿宋"/>
                <w:b/>
                <w:sz w:val="24"/>
                <w:szCs w:val="24"/>
                <w:lang w:val="en-GB" w:eastAsia="zh-CN"/>
              </w:rPr>
              <w:t>：</w:t>
            </w:r>
            <w:r>
              <w:rPr>
                <w:rFonts w:hint="eastAsia" w:hAnsi="仿宋"/>
                <w:b/>
                <w:sz w:val="24"/>
                <w:szCs w:val="24"/>
                <w:lang w:val="en-US" w:eastAsia="zh-CN"/>
              </w:rPr>
              <w:t xml:space="preserve">                                     </w:t>
            </w:r>
            <w:r>
              <w:rPr>
                <w:rFonts w:hint="eastAsia" w:hAnsi="仿宋"/>
                <w:sz w:val="24"/>
                <w:szCs w:val="24"/>
                <w:lang w:val="en-GB" w:eastAsia="zh-CN"/>
              </w:rPr>
              <w:t>□应急指令发送方</w:t>
            </w:r>
          </w:p>
        </w:tc>
      </w:tr>
      <w:tr w14:paraId="629E44AF">
        <w:trPr>
          <w:jc w:val="center"/>
        </w:trPr>
        <w:tc>
          <w:tcPr>
            <w:tcW w:w="4124" w:type="dxa"/>
            <w:tcBorders>
              <w:top w:val="single" w:color="auto" w:sz="4" w:space="0"/>
              <w:left w:val="single" w:color="auto" w:sz="4" w:space="0"/>
              <w:bottom w:val="single" w:color="auto" w:sz="4" w:space="0"/>
              <w:right w:val="single" w:color="auto" w:sz="4" w:space="0"/>
            </w:tcBorders>
            <w:vAlign w:val="center"/>
          </w:tcPr>
          <w:p w14:paraId="50EE7BC9">
            <w:pPr>
              <w:widowControl w:val="0"/>
              <w:spacing w:line="240" w:lineRule="auto"/>
              <w:ind w:firstLine="0" w:firstLineChars="0"/>
              <w:jc w:val="both"/>
              <w:rPr>
                <w:rFonts w:hAnsi="仿宋"/>
                <w:sz w:val="24"/>
                <w:szCs w:val="24"/>
                <w:lang w:val="en-GB"/>
              </w:rPr>
            </w:pPr>
            <w:r>
              <w:rPr>
                <w:rFonts w:hint="eastAsia" w:hAnsi="仿宋"/>
                <w:sz w:val="24"/>
                <w:szCs w:val="24"/>
                <w:lang w:val="en-GB"/>
              </w:rPr>
              <w:t>上海清算所债券账户账号</w:t>
            </w:r>
          </w:p>
        </w:tc>
        <w:tc>
          <w:tcPr>
            <w:tcW w:w="5936" w:type="dxa"/>
            <w:gridSpan w:val="2"/>
            <w:tcBorders>
              <w:top w:val="single" w:color="auto" w:sz="4" w:space="0"/>
              <w:left w:val="single" w:color="auto" w:sz="4" w:space="0"/>
              <w:bottom w:val="single" w:color="auto" w:sz="4" w:space="0"/>
              <w:right w:val="single" w:color="auto" w:sz="4" w:space="0"/>
            </w:tcBorders>
          </w:tcPr>
          <w:p w14:paraId="0380160A">
            <w:pPr>
              <w:widowControl w:val="0"/>
              <w:spacing w:line="240" w:lineRule="auto"/>
              <w:ind w:firstLine="0" w:firstLineChars="0"/>
              <w:rPr>
                <w:rFonts w:hAnsi="仿宋"/>
                <w:sz w:val="24"/>
                <w:szCs w:val="24"/>
                <w:lang w:val="en-GB"/>
              </w:rPr>
            </w:pPr>
          </w:p>
        </w:tc>
      </w:tr>
      <w:tr w14:paraId="0428E4DF">
        <w:tblPrEx>
          <w:tblCellMar>
            <w:top w:w="0" w:type="dxa"/>
            <w:left w:w="108" w:type="dxa"/>
            <w:bottom w:w="0" w:type="dxa"/>
            <w:right w:w="108" w:type="dxa"/>
          </w:tblCellMar>
        </w:tblPrEx>
        <w:trPr>
          <w:jc w:val="center"/>
        </w:trPr>
        <w:tc>
          <w:tcPr>
            <w:tcW w:w="4124" w:type="dxa"/>
            <w:tcBorders>
              <w:top w:val="single" w:color="auto" w:sz="4" w:space="0"/>
              <w:left w:val="single" w:color="auto" w:sz="4" w:space="0"/>
              <w:bottom w:val="single" w:color="auto" w:sz="4" w:space="0"/>
              <w:right w:val="single" w:color="auto" w:sz="4" w:space="0"/>
            </w:tcBorders>
            <w:vAlign w:val="center"/>
          </w:tcPr>
          <w:p w14:paraId="54A94865">
            <w:pPr>
              <w:widowControl w:val="0"/>
              <w:spacing w:line="240" w:lineRule="auto"/>
              <w:ind w:firstLine="0" w:firstLineChars="0"/>
              <w:jc w:val="both"/>
              <w:rPr>
                <w:rFonts w:hAnsi="仿宋"/>
                <w:sz w:val="24"/>
                <w:szCs w:val="24"/>
                <w:lang w:val="en-GB"/>
              </w:rPr>
            </w:pPr>
            <w:r>
              <w:rPr>
                <w:rFonts w:hint="eastAsia" w:hAnsi="仿宋"/>
                <w:sz w:val="24"/>
                <w:szCs w:val="24"/>
                <w:lang w:val="en-GB"/>
              </w:rPr>
              <w:t>上海清算所债券账户中文全称</w:t>
            </w:r>
          </w:p>
        </w:tc>
        <w:tc>
          <w:tcPr>
            <w:tcW w:w="5936" w:type="dxa"/>
            <w:gridSpan w:val="2"/>
            <w:tcBorders>
              <w:top w:val="single" w:color="auto" w:sz="4" w:space="0"/>
              <w:left w:val="single" w:color="auto" w:sz="4" w:space="0"/>
              <w:bottom w:val="single" w:color="auto" w:sz="4" w:space="0"/>
              <w:right w:val="single" w:color="auto" w:sz="4" w:space="0"/>
            </w:tcBorders>
          </w:tcPr>
          <w:p w14:paraId="38AC7303">
            <w:pPr>
              <w:widowControl w:val="0"/>
              <w:spacing w:line="240" w:lineRule="auto"/>
              <w:ind w:firstLine="0" w:firstLineChars="0"/>
              <w:rPr>
                <w:rFonts w:hAnsi="仿宋"/>
                <w:sz w:val="24"/>
                <w:szCs w:val="24"/>
                <w:lang w:val="en-GB"/>
              </w:rPr>
            </w:pPr>
          </w:p>
        </w:tc>
      </w:tr>
      <w:tr w14:paraId="7B3BC41E">
        <w:tblPrEx>
          <w:tblCellMar>
            <w:top w:w="0" w:type="dxa"/>
            <w:left w:w="108" w:type="dxa"/>
            <w:bottom w:w="0" w:type="dxa"/>
            <w:right w:w="108" w:type="dxa"/>
          </w:tblCellMar>
        </w:tblPrEx>
        <w:trPr>
          <w:jc w:val="center"/>
        </w:trPr>
        <w:tc>
          <w:tcPr>
            <w:tcW w:w="10060" w:type="dxa"/>
            <w:gridSpan w:val="3"/>
            <w:tcBorders>
              <w:left w:val="single" w:color="auto" w:sz="4" w:space="0"/>
              <w:bottom w:val="single" w:color="auto" w:sz="4" w:space="0"/>
              <w:right w:val="single" w:color="auto" w:sz="4" w:space="0"/>
            </w:tcBorders>
          </w:tcPr>
          <w:p w14:paraId="75561C03">
            <w:pPr>
              <w:widowControl w:val="0"/>
              <w:spacing w:line="240" w:lineRule="auto"/>
              <w:ind w:firstLine="0" w:firstLineChars="0"/>
              <w:rPr>
                <w:rFonts w:hAnsi="仿宋"/>
                <w:b/>
                <w:sz w:val="24"/>
                <w:szCs w:val="24"/>
                <w:lang w:val="en-GB"/>
              </w:rPr>
            </w:pPr>
            <w:r>
              <w:rPr>
                <w:rFonts w:hint="eastAsia" w:hAnsi="仿宋"/>
                <w:b/>
                <w:sz w:val="24"/>
                <w:szCs w:val="24"/>
                <w:lang w:val="en-GB"/>
              </w:rPr>
              <w:t>逆回购方/债券融入方账户信息：</w:t>
            </w:r>
            <w:r>
              <w:rPr>
                <w:rFonts w:hint="eastAsia" w:hAnsi="仿宋"/>
                <w:b/>
                <w:sz w:val="24"/>
                <w:szCs w:val="24"/>
                <w:lang w:val="en-US" w:eastAsia="zh-CN"/>
              </w:rPr>
              <w:t xml:space="preserve">                                     </w:t>
            </w:r>
            <w:r>
              <w:rPr>
                <w:rFonts w:hint="eastAsia" w:hAnsi="仿宋"/>
                <w:sz w:val="24"/>
                <w:szCs w:val="24"/>
                <w:lang w:val="en-GB" w:eastAsia="zh-CN"/>
              </w:rPr>
              <w:t>□应急指令发送方</w:t>
            </w:r>
          </w:p>
        </w:tc>
      </w:tr>
      <w:tr w14:paraId="39EC97A8">
        <w:tblPrEx>
          <w:tblCellMar>
            <w:top w:w="0" w:type="dxa"/>
            <w:left w:w="108" w:type="dxa"/>
            <w:bottom w:w="0" w:type="dxa"/>
            <w:right w:w="108" w:type="dxa"/>
          </w:tblCellMar>
        </w:tblPrEx>
        <w:trPr>
          <w:jc w:val="center"/>
        </w:trPr>
        <w:tc>
          <w:tcPr>
            <w:tcW w:w="4124" w:type="dxa"/>
            <w:tcBorders>
              <w:left w:val="single" w:color="auto" w:sz="4" w:space="0"/>
              <w:bottom w:val="single" w:color="auto" w:sz="4" w:space="0"/>
              <w:right w:val="single" w:color="auto" w:sz="4" w:space="0"/>
            </w:tcBorders>
            <w:vAlign w:val="center"/>
          </w:tcPr>
          <w:p w14:paraId="33B8B7F8">
            <w:pPr>
              <w:widowControl w:val="0"/>
              <w:spacing w:line="240" w:lineRule="auto"/>
              <w:ind w:firstLine="0" w:firstLineChars="0"/>
              <w:jc w:val="both"/>
              <w:rPr>
                <w:rFonts w:hAnsi="仿宋"/>
                <w:sz w:val="24"/>
                <w:szCs w:val="24"/>
                <w:lang w:val="en-GB"/>
              </w:rPr>
            </w:pPr>
            <w:r>
              <w:rPr>
                <w:rFonts w:hint="eastAsia" w:hAnsi="仿宋"/>
                <w:sz w:val="24"/>
                <w:szCs w:val="24"/>
                <w:lang w:val="en-GB"/>
              </w:rPr>
              <w:t>上海清算所债券账户账号</w:t>
            </w:r>
          </w:p>
        </w:tc>
        <w:tc>
          <w:tcPr>
            <w:tcW w:w="5936" w:type="dxa"/>
            <w:gridSpan w:val="2"/>
            <w:tcBorders>
              <w:top w:val="single" w:color="auto" w:sz="4" w:space="0"/>
              <w:left w:val="single" w:color="auto" w:sz="4" w:space="0"/>
              <w:bottom w:val="single" w:color="auto" w:sz="4" w:space="0"/>
              <w:right w:val="single" w:color="auto" w:sz="4" w:space="0"/>
            </w:tcBorders>
          </w:tcPr>
          <w:p w14:paraId="5084DF0C">
            <w:pPr>
              <w:widowControl w:val="0"/>
              <w:spacing w:line="240" w:lineRule="auto"/>
              <w:ind w:firstLine="0" w:firstLineChars="0"/>
              <w:rPr>
                <w:rFonts w:hAnsi="仿宋"/>
                <w:sz w:val="24"/>
                <w:szCs w:val="24"/>
                <w:lang w:val="en-GB"/>
              </w:rPr>
            </w:pPr>
          </w:p>
        </w:tc>
      </w:tr>
      <w:tr w14:paraId="55B1016A">
        <w:trPr>
          <w:jc w:val="center"/>
        </w:trPr>
        <w:tc>
          <w:tcPr>
            <w:tcW w:w="4124" w:type="dxa"/>
            <w:tcBorders>
              <w:left w:val="single" w:color="auto" w:sz="4" w:space="0"/>
              <w:bottom w:val="single" w:color="auto" w:sz="4" w:space="0"/>
              <w:right w:val="single" w:color="auto" w:sz="4" w:space="0"/>
            </w:tcBorders>
            <w:vAlign w:val="center"/>
          </w:tcPr>
          <w:p w14:paraId="1D278C20">
            <w:pPr>
              <w:widowControl w:val="0"/>
              <w:spacing w:line="240" w:lineRule="auto"/>
              <w:ind w:firstLine="0" w:firstLineChars="0"/>
              <w:jc w:val="both"/>
              <w:rPr>
                <w:rFonts w:hAnsi="仿宋"/>
                <w:sz w:val="24"/>
                <w:szCs w:val="24"/>
                <w:lang w:val="en-GB"/>
              </w:rPr>
            </w:pPr>
            <w:r>
              <w:rPr>
                <w:rFonts w:hint="eastAsia" w:hAnsi="仿宋"/>
                <w:sz w:val="24"/>
                <w:szCs w:val="24"/>
                <w:lang w:val="en-GB"/>
              </w:rPr>
              <w:t>上海清算所债券账户中文全称</w:t>
            </w:r>
          </w:p>
        </w:tc>
        <w:tc>
          <w:tcPr>
            <w:tcW w:w="5936" w:type="dxa"/>
            <w:gridSpan w:val="2"/>
            <w:tcBorders>
              <w:top w:val="single" w:color="auto" w:sz="4" w:space="0"/>
              <w:left w:val="single" w:color="auto" w:sz="4" w:space="0"/>
              <w:bottom w:val="single" w:color="auto" w:sz="4" w:space="0"/>
              <w:right w:val="single" w:color="auto" w:sz="4" w:space="0"/>
            </w:tcBorders>
          </w:tcPr>
          <w:p w14:paraId="2F740A93">
            <w:pPr>
              <w:widowControl w:val="0"/>
              <w:spacing w:line="240" w:lineRule="auto"/>
              <w:ind w:firstLine="0" w:firstLineChars="0"/>
              <w:rPr>
                <w:rFonts w:hAnsi="仿宋"/>
                <w:sz w:val="24"/>
                <w:szCs w:val="24"/>
                <w:lang w:val="en-GB"/>
              </w:rPr>
            </w:pPr>
          </w:p>
        </w:tc>
      </w:tr>
      <w:tr w14:paraId="57A2ED29">
        <w:tblPrEx>
          <w:tblCellMar>
            <w:top w:w="0" w:type="dxa"/>
            <w:left w:w="108" w:type="dxa"/>
            <w:bottom w:w="0" w:type="dxa"/>
            <w:right w:w="108" w:type="dxa"/>
          </w:tblCellMar>
        </w:tblPrEx>
        <w:trPr>
          <w:jc w:val="center"/>
        </w:trPr>
        <w:tc>
          <w:tcPr>
            <w:tcW w:w="10060" w:type="dxa"/>
            <w:gridSpan w:val="3"/>
            <w:tcBorders>
              <w:top w:val="single" w:color="auto" w:sz="4" w:space="0"/>
              <w:left w:val="single" w:color="auto" w:sz="4" w:space="0"/>
              <w:bottom w:val="single" w:color="auto" w:sz="4" w:space="0"/>
              <w:right w:val="single" w:color="auto" w:sz="4" w:space="0"/>
            </w:tcBorders>
          </w:tcPr>
          <w:p w14:paraId="66C1FA93">
            <w:pPr>
              <w:widowControl w:val="0"/>
              <w:tabs>
                <w:tab w:val="left" w:pos="3540"/>
              </w:tabs>
              <w:spacing w:line="240" w:lineRule="auto"/>
              <w:ind w:firstLine="0" w:firstLineChars="0"/>
              <w:jc w:val="center"/>
              <w:rPr>
                <w:rFonts w:hAnsi="仿宋"/>
                <w:b/>
                <w:bCs/>
                <w:sz w:val="24"/>
                <w:szCs w:val="24"/>
                <w:lang w:val="en-GB"/>
              </w:rPr>
            </w:pPr>
            <w:r>
              <w:rPr>
                <w:rFonts w:hint="eastAsia" w:hAnsi="仿宋"/>
                <w:b/>
                <w:bCs/>
                <w:sz w:val="24"/>
                <w:szCs w:val="24"/>
                <w:lang w:val="en-GB"/>
              </w:rPr>
              <w:t>到期结算现金交割业务应急信息</w:t>
            </w:r>
          </w:p>
        </w:tc>
      </w:tr>
      <w:tr w14:paraId="3E124701">
        <w:tblPrEx>
          <w:tblCellMar>
            <w:top w:w="0" w:type="dxa"/>
            <w:left w:w="108" w:type="dxa"/>
            <w:bottom w:w="0" w:type="dxa"/>
            <w:right w:w="108" w:type="dxa"/>
          </w:tblCellMar>
        </w:tblPrEx>
        <w:trPr>
          <w:jc w:val="center"/>
        </w:trPr>
        <w:tc>
          <w:tcPr>
            <w:tcW w:w="10060" w:type="dxa"/>
            <w:gridSpan w:val="3"/>
            <w:tcBorders>
              <w:top w:val="single" w:color="auto" w:sz="4" w:space="0"/>
              <w:left w:val="single" w:color="auto" w:sz="4" w:space="0"/>
              <w:bottom w:val="single" w:color="auto" w:sz="4" w:space="0"/>
              <w:right w:val="single" w:color="auto" w:sz="4" w:space="0"/>
            </w:tcBorders>
          </w:tcPr>
          <w:p w14:paraId="0CDB01C4">
            <w:pPr>
              <w:widowControl w:val="0"/>
              <w:spacing w:line="240" w:lineRule="auto"/>
              <w:ind w:firstLine="0" w:firstLineChars="0"/>
              <w:rPr>
                <w:rFonts w:hAnsi="仿宋"/>
                <w:sz w:val="24"/>
                <w:szCs w:val="24"/>
                <w:lang w:val="en-GB"/>
              </w:rPr>
            </w:pPr>
            <w:r>
              <w:rPr>
                <w:rFonts w:hint="eastAsia" w:hAnsi="仿宋"/>
                <w:sz w:val="24"/>
                <w:szCs w:val="24"/>
                <w:lang w:val="en-GB"/>
              </w:rPr>
              <w:t>应急指令提交方：现因网络、系统或其他原因，无法及时通过综合业务系统客户端完成到期结算现金交割指令发起操作（已与结算对手方协商一致且结算对手方已盖章确认）或确认操作，请贵公司基于以下信息通过业务应急方式代理本机构完成相关操作。</w:t>
            </w:r>
          </w:p>
        </w:tc>
      </w:tr>
      <w:tr w14:paraId="650DE222">
        <w:tblPrEx>
          <w:tblCellMar>
            <w:top w:w="0" w:type="dxa"/>
            <w:left w:w="108" w:type="dxa"/>
            <w:bottom w:w="0" w:type="dxa"/>
            <w:right w:w="108" w:type="dxa"/>
          </w:tblCellMar>
        </w:tblPrEx>
        <w:trPr>
          <w:jc w:val="center"/>
        </w:trPr>
        <w:tc>
          <w:tcPr>
            <w:tcW w:w="4124" w:type="dxa"/>
            <w:tcBorders>
              <w:top w:val="single" w:color="auto" w:sz="4" w:space="0"/>
              <w:left w:val="single" w:color="auto" w:sz="4" w:space="0"/>
              <w:bottom w:val="single" w:color="auto" w:sz="4" w:space="0"/>
              <w:right w:val="single" w:color="auto" w:sz="4" w:space="0"/>
            </w:tcBorders>
          </w:tcPr>
          <w:p w14:paraId="20DBEFD0">
            <w:pPr>
              <w:widowControl w:val="0"/>
              <w:spacing w:line="240" w:lineRule="auto"/>
              <w:ind w:firstLine="0" w:firstLineChars="0"/>
              <w:rPr>
                <w:rFonts w:hAnsi="仿宋"/>
                <w:sz w:val="24"/>
                <w:szCs w:val="24"/>
                <w:lang w:val="en-GB"/>
              </w:rPr>
            </w:pPr>
            <w:r>
              <w:rPr>
                <w:rFonts w:hint="eastAsia" w:hAnsi="仿宋"/>
                <w:sz w:val="24"/>
                <w:szCs w:val="24"/>
                <w:lang w:val="en-GB"/>
              </w:rPr>
              <w:t>外汇交易中心成交编号</w:t>
            </w:r>
          </w:p>
        </w:tc>
        <w:tc>
          <w:tcPr>
            <w:tcW w:w="5936" w:type="dxa"/>
            <w:gridSpan w:val="2"/>
            <w:tcBorders>
              <w:top w:val="single" w:color="auto" w:sz="4" w:space="0"/>
              <w:left w:val="single" w:color="auto" w:sz="4" w:space="0"/>
              <w:bottom w:val="single" w:color="auto" w:sz="4" w:space="0"/>
              <w:right w:val="single" w:color="auto" w:sz="4" w:space="0"/>
            </w:tcBorders>
          </w:tcPr>
          <w:p w14:paraId="56C941FA">
            <w:pPr>
              <w:widowControl w:val="0"/>
              <w:spacing w:line="240" w:lineRule="auto"/>
              <w:ind w:firstLine="0" w:firstLineChars="0"/>
              <w:rPr>
                <w:rFonts w:hAnsi="仿宋"/>
                <w:sz w:val="24"/>
                <w:szCs w:val="24"/>
                <w:lang w:val="en-GB"/>
              </w:rPr>
            </w:pPr>
          </w:p>
        </w:tc>
      </w:tr>
      <w:tr w14:paraId="24CD5B97">
        <w:trPr>
          <w:jc w:val="center"/>
        </w:trPr>
        <w:tc>
          <w:tcPr>
            <w:tcW w:w="4124" w:type="dxa"/>
            <w:tcBorders>
              <w:top w:val="single" w:color="auto" w:sz="4" w:space="0"/>
              <w:left w:val="single" w:color="auto" w:sz="4" w:space="0"/>
              <w:bottom w:val="single" w:color="auto" w:sz="4" w:space="0"/>
              <w:right w:val="single" w:color="auto" w:sz="4" w:space="0"/>
            </w:tcBorders>
          </w:tcPr>
          <w:p w14:paraId="7EAE0DCE">
            <w:pPr>
              <w:widowControl w:val="0"/>
              <w:spacing w:line="240" w:lineRule="auto"/>
              <w:ind w:firstLine="0" w:firstLineChars="0"/>
              <w:rPr>
                <w:rFonts w:hAnsi="仿宋"/>
                <w:sz w:val="24"/>
                <w:szCs w:val="24"/>
                <w:lang w:val="en-GB"/>
              </w:rPr>
            </w:pPr>
            <w:r>
              <w:rPr>
                <w:rFonts w:hint="eastAsia" w:hAnsi="仿宋"/>
                <w:sz w:val="24"/>
                <w:szCs w:val="24"/>
                <w:lang w:val="en-GB"/>
              </w:rPr>
              <w:t>原到期结算金额（元）</w:t>
            </w:r>
          </w:p>
        </w:tc>
        <w:tc>
          <w:tcPr>
            <w:tcW w:w="5936" w:type="dxa"/>
            <w:gridSpan w:val="2"/>
            <w:tcBorders>
              <w:top w:val="single" w:color="auto" w:sz="4" w:space="0"/>
              <w:left w:val="single" w:color="auto" w:sz="4" w:space="0"/>
              <w:bottom w:val="single" w:color="auto" w:sz="4" w:space="0"/>
              <w:right w:val="single" w:color="auto" w:sz="4" w:space="0"/>
            </w:tcBorders>
          </w:tcPr>
          <w:p w14:paraId="540DEC0B">
            <w:pPr>
              <w:widowControl w:val="0"/>
              <w:spacing w:line="240" w:lineRule="auto"/>
              <w:ind w:firstLine="0" w:firstLineChars="0"/>
              <w:rPr>
                <w:rFonts w:hAnsi="仿宋"/>
                <w:sz w:val="24"/>
                <w:szCs w:val="24"/>
                <w:lang w:val="en-GB"/>
              </w:rPr>
            </w:pPr>
          </w:p>
        </w:tc>
      </w:tr>
      <w:tr w14:paraId="25D276B7">
        <w:tblPrEx>
          <w:tblCellMar>
            <w:top w:w="0" w:type="dxa"/>
            <w:left w:w="108" w:type="dxa"/>
            <w:bottom w:w="0" w:type="dxa"/>
            <w:right w:w="108" w:type="dxa"/>
          </w:tblCellMar>
        </w:tblPrEx>
        <w:trPr>
          <w:jc w:val="center"/>
        </w:trPr>
        <w:tc>
          <w:tcPr>
            <w:tcW w:w="4124" w:type="dxa"/>
            <w:tcBorders>
              <w:top w:val="single" w:color="auto" w:sz="4" w:space="0"/>
              <w:left w:val="single" w:color="auto" w:sz="4" w:space="0"/>
              <w:bottom w:val="single" w:color="auto" w:sz="4" w:space="0"/>
              <w:right w:val="single" w:color="auto" w:sz="4" w:space="0"/>
            </w:tcBorders>
          </w:tcPr>
          <w:p w14:paraId="5086DB7E">
            <w:pPr>
              <w:widowControl w:val="0"/>
              <w:spacing w:line="240" w:lineRule="auto"/>
              <w:ind w:firstLine="0" w:firstLineChars="0"/>
              <w:rPr>
                <w:rFonts w:hAnsi="仿宋"/>
                <w:sz w:val="24"/>
                <w:szCs w:val="24"/>
                <w:lang w:val="en-GB"/>
              </w:rPr>
            </w:pPr>
            <w:r>
              <w:rPr>
                <w:rFonts w:hint="eastAsia" w:hAnsi="仿宋"/>
                <w:sz w:val="24"/>
                <w:szCs w:val="24"/>
                <w:lang w:val="en-GB"/>
              </w:rPr>
              <w:t>现金交割结算金额（元）</w:t>
            </w:r>
          </w:p>
        </w:tc>
        <w:tc>
          <w:tcPr>
            <w:tcW w:w="5936" w:type="dxa"/>
            <w:gridSpan w:val="2"/>
            <w:tcBorders>
              <w:top w:val="single" w:color="auto" w:sz="4" w:space="0"/>
              <w:left w:val="single" w:color="auto" w:sz="4" w:space="0"/>
              <w:bottom w:val="single" w:color="auto" w:sz="4" w:space="0"/>
              <w:right w:val="single" w:color="auto" w:sz="4" w:space="0"/>
            </w:tcBorders>
          </w:tcPr>
          <w:p w14:paraId="6D226DB0">
            <w:pPr>
              <w:widowControl w:val="0"/>
              <w:spacing w:line="240" w:lineRule="auto"/>
              <w:ind w:firstLine="0" w:firstLineChars="0"/>
              <w:rPr>
                <w:rFonts w:hAnsi="仿宋"/>
                <w:sz w:val="24"/>
                <w:szCs w:val="24"/>
                <w:lang w:val="en-GB"/>
              </w:rPr>
            </w:pPr>
          </w:p>
        </w:tc>
      </w:tr>
      <w:tr w14:paraId="23F628EA">
        <w:tblPrEx>
          <w:tblCellMar>
            <w:top w:w="0" w:type="dxa"/>
            <w:left w:w="108" w:type="dxa"/>
            <w:bottom w:w="0" w:type="dxa"/>
            <w:right w:w="108" w:type="dxa"/>
          </w:tblCellMar>
        </w:tblPrEx>
        <w:trPr>
          <w:jc w:val="center"/>
        </w:trPr>
        <w:tc>
          <w:tcPr>
            <w:tcW w:w="4124" w:type="dxa"/>
            <w:tcBorders>
              <w:top w:val="single" w:color="auto" w:sz="4" w:space="0"/>
              <w:left w:val="single" w:color="auto" w:sz="4" w:space="0"/>
              <w:bottom w:val="single" w:color="auto" w:sz="4" w:space="0"/>
              <w:right w:val="single" w:color="auto" w:sz="4" w:space="0"/>
            </w:tcBorders>
          </w:tcPr>
          <w:p w14:paraId="05ECDCC8">
            <w:pPr>
              <w:widowControl w:val="0"/>
              <w:spacing w:line="240" w:lineRule="auto"/>
              <w:ind w:firstLine="0" w:firstLineChars="0"/>
              <w:rPr>
                <w:rFonts w:hAnsi="仿宋"/>
                <w:sz w:val="24"/>
                <w:szCs w:val="24"/>
                <w:lang w:val="en-GB"/>
              </w:rPr>
            </w:pPr>
            <w:r>
              <w:rPr>
                <w:rFonts w:hAnsi="仿宋"/>
                <w:sz w:val="24"/>
                <w:szCs w:val="24"/>
                <w:lang w:val="en-GB"/>
              </w:rPr>
              <w:t>到期结算日</w:t>
            </w:r>
          </w:p>
        </w:tc>
        <w:tc>
          <w:tcPr>
            <w:tcW w:w="5936" w:type="dxa"/>
            <w:gridSpan w:val="2"/>
            <w:tcBorders>
              <w:top w:val="single" w:color="auto" w:sz="4" w:space="0"/>
              <w:left w:val="single" w:color="auto" w:sz="4" w:space="0"/>
              <w:bottom w:val="single" w:color="auto" w:sz="4" w:space="0"/>
              <w:right w:val="single" w:color="auto" w:sz="4" w:space="0"/>
            </w:tcBorders>
          </w:tcPr>
          <w:p w14:paraId="08F7FADE">
            <w:pPr>
              <w:widowControl w:val="0"/>
              <w:spacing w:line="240" w:lineRule="auto"/>
              <w:ind w:firstLine="0" w:firstLineChars="0"/>
              <w:rPr>
                <w:rFonts w:hAnsi="仿宋"/>
                <w:sz w:val="24"/>
                <w:szCs w:val="24"/>
                <w:lang w:val="en-GB"/>
              </w:rPr>
            </w:pPr>
          </w:p>
        </w:tc>
      </w:tr>
      <w:tr w14:paraId="6BECB4C8">
        <w:tblPrEx>
          <w:tblCellMar>
            <w:top w:w="0" w:type="dxa"/>
            <w:left w:w="108" w:type="dxa"/>
            <w:bottom w:w="0" w:type="dxa"/>
            <w:right w:w="108" w:type="dxa"/>
          </w:tblCellMar>
        </w:tblPrEx>
        <w:trPr>
          <w:jc w:val="center"/>
        </w:trPr>
        <w:tc>
          <w:tcPr>
            <w:tcW w:w="4124" w:type="dxa"/>
            <w:tcBorders>
              <w:top w:val="single" w:color="auto" w:sz="4" w:space="0"/>
              <w:left w:val="single" w:color="auto" w:sz="4" w:space="0"/>
              <w:bottom w:val="single" w:color="auto" w:sz="4" w:space="0"/>
              <w:right w:val="single" w:color="auto" w:sz="4" w:space="0"/>
            </w:tcBorders>
          </w:tcPr>
          <w:p w14:paraId="141A1511">
            <w:pPr>
              <w:widowControl w:val="0"/>
              <w:spacing w:line="240" w:lineRule="auto"/>
              <w:ind w:firstLine="0" w:firstLineChars="0"/>
              <w:rPr>
                <w:rFonts w:hint="eastAsia" w:hAnsi="仿宋" w:eastAsia="仿宋"/>
                <w:sz w:val="24"/>
                <w:szCs w:val="24"/>
                <w:lang w:val="en-GB" w:eastAsia="zh-CN"/>
              </w:rPr>
            </w:pPr>
            <w:r>
              <w:rPr>
                <w:rFonts w:hint="eastAsia" w:hAnsi="仿宋"/>
                <w:sz w:val="24"/>
                <w:szCs w:val="24"/>
                <w:lang w:val="en-GB" w:eastAsia="zh-CN"/>
              </w:rPr>
              <w:t>付款方上海清算所</w:t>
            </w:r>
            <w:r>
              <w:rPr>
                <w:rFonts w:hint="eastAsia" w:hAnsi="仿宋"/>
                <w:sz w:val="24"/>
                <w:szCs w:val="24"/>
                <w:lang w:val="en-GB"/>
              </w:rPr>
              <w:t>债券账户账号</w:t>
            </w:r>
          </w:p>
        </w:tc>
        <w:tc>
          <w:tcPr>
            <w:tcW w:w="5936" w:type="dxa"/>
            <w:gridSpan w:val="2"/>
            <w:tcBorders>
              <w:top w:val="single" w:color="auto" w:sz="4" w:space="0"/>
              <w:left w:val="single" w:color="auto" w:sz="4" w:space="0"/>
              <w:bottom w:val="single" w:color="auto" w:sz="4" w:space="0"/>
              <w:right w:val="single" w:color="auto" w:sz="4" w:space="0"/>
            </w:tcBorders>
          </w:tcPr>
          <w:p w14:paraId="17F27D6B">
            <w:pPr>
              <w:widowControl w:val="0"/>
              <w:spacing w:line="240" w:lineRule="auto"/>
              <w:ind w:firstLine="0" w:firstLineChars="0"/>
              <w:rPr>
                <w:rFonts w:hAnsi="仿宋"/>
                <w:sz w:val="24"/>
                <w:szCs w:val="24"/>
                <w:lang w:val="en-GB"/>
              </w:rPr>
            </w:pPr>
          </w:p>
        </w:tc>
      </w:tr>
      <w:tr w14:paraId="2922251A">
        <w:tblPrEx>
          <w:tblCellMar>
            <w:top w:w="0" w:type="dxa"/>
            <w:left w:w="108" w:type="dxa"/>
            <w:bottom w:w="0" w:type="dxa"/>
            <w:right w:w="108" w:type="dxa"/>
          </w:tblCellMar>
        </w:tblPrEx>
        <w:trPr>
          <w:jc w:val="center"/>
        </w:trPr>
        <w:tc>
          <w:tcPr>
            <w:tcW w:w="4124" w:type="dxa"/>
            <w:tcBorders>
              <w:top w:val="single" w:color="auto" w:sz="4" w:space="0"/>
              <w:left w:val="single" w:color="auto" w:sz="4" w:space="0"/>
              <w:bottom w:val="single" w:color="auto" w:sz="4" w:space="0"/>
              <w:right w:val="single" w:color="auto" w:sz="4" w:space="0"/>
            </w:tcBorders>
          </w:tcPr>
          <w:p w14:paraId="21019E8D">
            <w:pPr>
              <w:widowControl w:val="0"/>
              <w:spacing w:line="240" w:lineRule="auto"/>
              <w:ind w:firstLine="0" w:firstLineChars="0"/>
              <w:rPr>
                <w:rFonts w:hAnsi="仿宋"/>
                <w:sz w:val="24"/>
                <w:szCs w:val="24"/>
                <w:lang w:val="en-GB"/>
              </w:rPr>
            </w:pPr>
            <w:r>
              <w:rPr>
                <w:rFonts w:hint="eastAsia" w:hAnsi="仿宋"/>
                <w:sz w:val="24"/>
                <w:szCs w:val="24"/>
                <w:lang w:val="en-GB" w:eastAsia="zh-CN"/>
              </w:rPr>
              <w:t>付款方上海清算所</w:t>
            </w:r>
            <w:r>
              <w:rPr>
                <w:rFonts w:hint="eastAsia" w:hAnsi="仿宋"/>
                <w:sz w:val="24"/>
                <w:szCs w:val="24"/>
                <w:lang w:val="en-GB"/>
              </w:rPr>
              <w:t>债券账户中文全称</w:t>
            </w:r>
          </w:p>
        </w:tc>
        <w:tc>
          <w:tcPr>
            <w:tcW w:w="5936" w:type="dxa"/>
            <w:gridSpan w:val="2"/>
            <w:tcBorders>
              <w:top w:val="single" w:color="auto" w:sz="4" w:space="0"/>
              <w:left w:val="single" w:color="auto" w:sz="4" w:space="0"/>
              <w:bottom w:val="single" w:color="auto" w:sz="4" w:space="0"/>
              <w:right w:val="single" w:color="auto" w:sz="4" w:space="0"/>
            </w:tcBorders>
          </w:tcPr>
          <w:p w14:paraId="18AD6FA1">
            <w:pPr>
              <w:widowControl w:val="0"/>
              <w:spacing w:line="240" w:lineRule="auto"/>
              <w:ind w:firstLine="0" w:firstLineChars="0"/>
              <w:rPr>
                <w:rFonts w:hAnsi="仿宋"/>
                <w:sz w:val="24"/>
                <w:szCs w:val="24"/>
                <w:lang w:val="en-GB"/>
              </w:rPr>
            </w:pPr>
          </w:p>
        </w:tc>
      </w:tr>
      <w:tr w14:paraId="47E98F95">
        <w:tblPrEx>
          <w:tblCellMar>
            <w:top w:w="0" w:type="dxa"/>
            <w:left w:w="108" w:type="dxa"/>
            <w:bottom w:w="0" w:type="dxa"/>
            <w:right w:w="108" w:type="dxa"/>
          </w:tblCellMar>
        </w:tblPrEx>
        <w:trPr>
          <w:jc w:val="center"/>
        </w:trPr>
        <w:tc>
          <w:tcPr>
            <w:tcW w:w="4124" w:type="dxa"/>
            <w:tcBorders>
              <w:top w:val="single" w:color="auto" w:sz="4" w:space="0"/>
              <w:left w:val="single" w:color="auto" w:sz="4" w:space="0"/>
              <w:bottom w:val="single" w:color="auto" w:sz="4" w:space="0"/>
              <w:right w:val="single" w:color="auto" w:sz="4" w:space="0"/>
            </w:tcBorders>
          </w:tcPr>
          <w:p w14:paraId="1FA72284">
            <w:pPr>
              <w:widowControl w:val="0"/>
              <w:spacing w:line="240" w:lineRule="auto"/>
              <w:ind w:firstLine="0" w:firstLineChars="0"/>
              <w:rPr>
                <w:rFonts w:hAnsi="仿宋"/>
                <w:sz w:val="24"/>
                <w:szCs w:val="24"/>
                <w:lang w:val="en-GB"/>
              </w:rPr>
            </w:pPr>
            <w:r>
              <w:rPr>
                <w:rFonts w:hint="eastAsia" w:hAnsi="仿宋"/>
                <w:sz w:val="24"/>
                <w:szCs w:val="24"/>
                <w:lang w:val="en-GB"/>
              </w:rPr>
              <w:t>正回购方/债券融出方办公电话</w:t>
            </w:r>
          </w:p>
        </w:tc>
        <w:tc>
          <w:tcPr>
            <w:tcW w:w="5936" w:type="dxa"/>
            <w:gridSpan w:val="2"/>
            <w:tcBorders>
              <w:top w:val="single" w:color="auto" w:sz="4" w:space="0"/>
              <w:left w:val="single" w:color="auto" w:sz="4" w:space="0"/>
              <w:bottom w:val="single" w:color="auto" w:sz="4" w:space="0"/>
              <w:right w:val="single" w:color="auto" w:sz="4" w:space="0"/>
            </w:tcBorders>
            <w:vAlign w:val="center"/>
          </w:tcPr>
          <w:p w14:paraId="4D7C50FC">
            <w:pPr>
              <w:widowControl w:val="0"/>
              <w:spacing w:line="240" w:lineRule="auto"/>
              <w:ind w:firstLine="0" w:firstLineChars="0"/>
              <w:jc w:val="both"/>
              <w:rPr>
                <w:rFonts w:hAnsi="仿宋"/>
                <w:sz w:val="24"/>
                <w:szCs w:val="24"/>
                <w:lang w:val="en-GB"/>
              </w:rPr>
            </w:pPr>
          </w:p>
        </w:tc>
      </w:tr>
      <w:tr w14:paraId="1A5FA2E8">
        <w:tblPrEx>
          <w:tblCellMar>
            <w:top w:w="0" w:type="dxa"/>
            <w:left w:w="108" w:type="dxa"/>
            <w:bottom w:w="0" w:type="dxa"/>
            <w:right w:w="108" w:type="dxa"/>
          </w:tblCellMar>
        </w:tblPrEx>
        <w:trPr>
          <w:jc w:val="center"/>
        </w:trPr>
        <w:tc>
          <w:tcPr>
            <w:tcW w:w="4124" w:type="dxa"/>
            <w:tcBorders>
              <w:top w:val="single" w:color="auto" w:sz="4" w:space="0"/>
              <w:left w:val="single" w:color="auto" w:sz="4" w:space="0"/>
              <w:bottom w:val="single" w:color="auto" w:sz="4" w:space="0"/>
              <w:right w:val="single" w:color="auto" w:sz="4" w:space="0"/>
            </w:tcBorders>
          </w:tcPr>
          <w:p w14:paraId="10376CCE">
            <w:pPr>
              <w:widowControl w:val="0"/>
              <w:spacing w:line="240" w:lineRule="auto"/>
              <w:ind w:firstLine="0" w:firstLineChars="0"/>
              <w:rPr>
                <w:rFonts w:hAnsi="仿宋"/>
                <w:sz w:val="24"/>
                <w:szCs w:val="24"/>
                <w:lang w:val="en-GB"/>
              </w:rPr>
            </w:pPr>
            <w:r>
              <w:rPr>
                <w:rFonts w:hint="eastAsia" w:hAnsi="仿宋"/>
                <w:sz w:val="24"/>
                <w:szCs w:val="24"/>
                <w:lang w:val="en-GB"/>
              </w:rPr>
              <w:t>逆回购方/债券融入方办公电话</w:t>
            </w:r>
          </w:p>
        </w:tc>
        <w:tc>
          <w:tcPr>
            <w:tcW w:w="5936" w:type="dxa"/>
            <w:gridSpan w:val="2"/>
            <w:tcBorders>
              <w:top w:val="single" w:color="auto" w:sz="4" w:space="0"/>
              <w:left w:val="single" w:color="auto" w:sz="4" w:space="0"/>
              <w:bottom w:val="single" w:color="auto" w:sz="4" w:space="0"/>
              <w:right w:val="single" w:color="auto" w:sz="4" w:space="0"/>
            </w:tcBorders>
            <w:vAlign w:val="center"/>
          </w:tcPr>
          <w:p w14:paraId="49A840EC">
            <w:pPr>
              <w:widowControl w:val="0"/>
              <w:spacing w:line="240" w:lineRule="auto"/>
              <w:ind w:firstLine="0" w:firstLineChars="0"/>
              <w:jc w:val="both"/>
              <w:rPr>
                <w:rFonts w:hAnsi="仿宋"/>
                <w:sz w:val="24"/>
                <w:szCs w:val="24"/>
                <w:lang w:val="en-GB"/>
              </w:rPr>
            </w:pPr>
          </w:p>
        </w:tc>
      </w:tr>
      <w:tr w14:paraId="0A160725">
        <w:tblPrEx>
          <w:tblCellMar>
            <w:top w:w="0" w:type="dxa"/>
            <w:left w:w="108" w:type="dxa"/>
            <w:bottom w:w="0" w:type="dxa"/>
            <w:right w:w="108" w:type="dxa"/>
          </w:tblCellMar>
        </w:tblPrEx>
        <w:trPr>
          <w:jc w:val="center"/>
        </w:trPr>
        <w:tc>
          <w:tcPr>
            <w:tcW w:w="4124" w:type="dxa"/>
            <w:tcBorders>
              <w:top w:val="single" w:color="auto" w:sz="4" w:space="0"/>
              <w:left w:val="single" w:color="auto" w:sz="4" w:space="0"/>
              <w:bottom w:val="single" w:color="auto" w:sz="4" w:space="0"/>
              <w:right w:val="single" w:color="auto" w:sz="4" w:space="0"/>
            </w:tcBorders>
            <w:vAlign w:val="center"/>
          </w:tcPr>
          <w:p w14:paraId="0AE057E1">
            <w:pPr>
              <w:widowControl w:val="0"/>
              <w:spacing w:line="240" w:lineRule="auto"/>
              <w:ind w:firstLine="0" w:firstLineChars="0"/>
              <w:rPr>
                <w:rFonts w:hAnsi="仿宋"/>
                <w:sz w:val="24"/>
                <w:szCs w:val="24"/>
                <w:lang w:val="en-GB"/>
              </w:rPr>
            </w:pPr>
            <w:r>
              <w:rPr>
                <w:rFonts w:hint="eastAsia" w:hAnsi="仿宋"/>
                <w:sz w:val="24"/>
                <w:szCs w:val="24"/>
                <w:lang w:val="en-GB"/>
              </w:rPr>
              <w:t>备注信息</w:t>
            </w:r>
          </w:p>
        </w:tc>
        <w:tc>
          <w:tcPr>
            <w:tcW w:w="5936" w:type="dxa"/>
            <w:gridSpan w:val="2"/>
            <w:tcBorders>
              <w:top w:val="single" w:color="auto" w:sz="4" w:space="0"/>
              <w:left w:val="single" w:color="auto" w:sz="4" w:space="0"/>
              <w:bottom w:val="single" w:color="auto" w:sz="4" w:space="0"/>
              <w:right w:val="single" w:color="auto" w:sz="4" w:space="0"/>
            </w:tcBorders>
            <w:vAlign w:val="center"/>
          </w:tcPr>
          <w:p w14:paraId="6905E6F2">
            <w:pPr>
              <w:spacing w:line="240" w:lineRule="auto"/>
              <w:ind w:left="0" w:leftChars="0" w:firstLine="0" w:firstLineChars="0"/>
            </w:pPr>
          </w:p>
          <w:p w14:paraId="3ACEBFA7">
            <w:pPr>
              <w:widowControl w:val="0"/>
              <w:spacing w:line="240" w:lineRule="auto"/>
              <w:ind w:firstLine="0" w:firstLineChars="0"/>
              <w:jc w:val="both"/>
              <w:rPr>
                <w:rFonts w:hAnsi="仿宋"/>
                <w:sz w:val="24"/>
                <w:szCs w:val="24"/>
                <w:lang w:val="en-GB"/>
              </w:rPr>
            </w:pPr>
          </w:p>
          <w:p w14:paraId="28E6675C">
            <w:pPr>
              <w:widowControl w:val="0"/>
              <w:spacing w:line="240" w:lineRule="auto"/>
              <w:ind w:firstLine="0" w:firstLineChars="0"/>
              <w:jc w:val="both"/>
              <w:rPr>
                <w:rFonts w:hAnsi="仿宋"/>
                <w:sz w:val="24"/>
                <w:szCs w:val="24"/>
                <w:lang w:val="en-GB"/>
              </w:rPr>
            </w:pPr>
          </w:p>
          <w:p w14:paraId="672C1B9D">
            <w:pPr>
              <w:widowControl w:val="0"/>
              <w:spacing w:line="240" w:lineRule="auto"/>
              <w:ind w:firstLine="0" w:firstLineChars="0"/>
              <w:jc w:val="both"/>
              <w:rPr>
                <w:rFonts w:hAnsi="仿宋"/>
                <w:sz w:val="24"/>
                <w:szCs w:val="24"/>
                <w:lang w:val="en-GB"/>
              </w:rPr>
            </w:pPr>
          </w:p>
        </w:tc>
      </w:tr>
      <w:tr w14:paraId="294F193E">
        <w:tblPrEx>
          <w:tblCellMar>
            <w:top w:w="0" w:type="dxa"/>
            <w:left w:w="108" w:type="dxa"/>
            <w:bottom w:w="0" w:type="dxa"/>
            <w:right w:w="108" w:type="dxa"/>
          </w:tblCellMar>
        </w:tblPrEx>
        <w:trPr>
          <w:jc w:val="center"/>
        </w:trPr>
        <w:tc>
          <w:tcPr>
            <w:tcW w:w="5030" w:type="dxa"/>
            <w:gridSpan w:val="2"/>
            <w:tcBorders>
              <w:top w:val="single" w:color="auto" w:sz="4" w:space="0"/>
              <w:left w:val="single" w:color="auto" w:sz="4" w:space="0"/>
              <w:bottom w:val="single" w:color="auto" w:sz="4" w:space="0"/>
              <w:right w:val="single" w:color="auto" w:sz="4" w:space="0"/>
            </w:tcBorders>
          </w:tcPr>
          <w:p w14:paraId="2033D711">
            <w:pPr>
              <w:widowControl w:val="0"/>
              <w:spacing w:line="240" w:lineRule="auto"/>
              <w:ind w:firstLine="0" w:firstLineChars="0"/>
              <w:jc w:val="center"/>
              <w:rPr>
                <w:rFonts w:hAnsi="仿宋"/>
                <w:b/>
                <w:sz w:val="24"/>
                <w:szCs w:val="24"/>
                <w:lang w:val="en-GB"/>
              </w:rPr>
            </w:pPr>
            <w:r>
              <w:rPr>
                <w:rFonts w:hint="eastAsia" w:hAnsi="仿宋"/>
                <w:b/>
                <w:sz w:val="24"/>
                <w:szCs w:val="24"/>
                <w:lang w:val="en-GB"/>
              </w:rPr>
              <w:t>正回购方/债券融出方单位公章或预留印鉴</w:t>
            </w:r>
          </w:p>
          <w:p w14:paraId="400CFDFE">
            <w:pPr>
              <w:widowControl w:val="0"/>
              <w:spacing w:line="240" w:lineRule="auto"/>
              <w:ind w:firstLine="0" w:firstLineChars="0"/>
              <w:rPr>
                <w:rFonts w:hAnsi="仿宋"/>
                <w:sz w:val="24"/>
                <w:szCs w:val="24"/>
                <w:lang w:val="en-GB"/>
              </w:rPr>
            </w:pPr>
          </w:p>
          <w:p w14:paraId="42E68B2C">
            <w:pPr>
              <w:widowControl w:val="0"/>
              <w:spacing w:line="240" w:lineRule="auto"/>
              <w:ind w:firstLine="0" w:firstLineChars="0"/>
              <w:rPr>
                <w:rFonts w:hAnsi="仿宋"/>
                <w:sz w:val="24"/>
                <w:szCs w:val="24"/>
                <w:lang w:val="en-GB"/>
              </w:rPr>
            </w:pPr>
          </w:p>
          <w:p w14:paraId="3A55EDEF">
            <w:pPr>
              <w:widowControl w:val="0"/>
              <w:spacing w:line="240" w:lineRule="auto"/>
              <w:ind w:firstLine="0" w:firstLineChars="0"/>
              <w:rPr>
                <w:rFonts w:hAnsi="仿宋"/>
                <w:sz w:val="24"/>
                <w:szCs w:val="24"/>
                <w:lang w:val="en-GB"/>
              </w:rPr>
            </w:pPr>
          </w:p>
          <w:p w14:paraId="327A86F9">
            <w:pPr>
              <w:widowControl w:val="0"/>
              <w:spacing w:line="240" w:lineRule="auto"/>
              <w:ind w:firstLine="0" w:firstLineChars="0"/>
              <w:rPr>
                <w:rFonts w:hAnsi="仿宋"/>
                <w:sz w:val="24"/>
                <w:szCs w:val="24"/>
                <w:lang w:val="en-GB"/>
              </w:rPr>
            </w:pPr>
          </w:p>
          <w:p w14:paraId="31A2A2C5">
            <w:pPr>
              <w:widowControl w:val="0"/>
              <w:spacing w:line="240" w:lineRule="auto"/>
              <w:ind w:firstLine="0" w:firstLineChars="0"/>
              <w:rPr>
                <w:rFonts w:hAnsi="仿宋"/>
                <w:sz w:val="24"/>
                <w:szCs w:val="24"/>
                <w:lang w:val="en-GB"/>
              </w:rPr>
            </w:pPr>
          </w:p>
          <w:p w14:paraId="70CB306A">
            <w:pPr>
              <w:widowControl w:val="0"/>
              <w:spacing w:line="240" w:lineRule="auto"/>
              <w:ind w:firstLine="3120" w:firstLineChars="1300"/>
              <w:rPr>
                <w:rFonts w:hAnsi="仿宋"/>
                <w:sz w:val="24"/>
                <w:szCs w:val="24"/>
                <w:lang w:val="en-GB"/>
              </w:rPr>
            </w:pPr>
            <w:r>
              <w:rPr>
                <w:rFonts w:hAnsi="仿宋"/>
                <w:sz w:val="24"/>
                <w:szCs w:val="24"/>
                <w:lang w:val="en-GB"/>
              </w:rPr>
              <w:t>年</w:t>
            </w:r>
            <w:r>
              <w:rPr>
                <w:rFonts w:hint="eastAsia" w:hAnsi="仿宋"/>
                <w:sz w:val="24"/>
                <w:szCs w:val="24"/>
                <w:lang w:val="en-GB"/>
              </w:rPr>
              <w:t xml:space="preserve">    月    日</w:t>
            </w:r>
          </w:p>
        </w:tc>
        <w:tc>
          <w:tcPr>
            <w:tcW w:w="5030" w:type="dxa"/>
            <w:tcBorders>
              <w:top w:val="single" w:color="auto" w:sz="4" w:space="0"/>
              <w:left w:val="single" w:color="auto" w:sz="4" w:space="0"/>
              <w:bottom w:val="single" w:color="auto" w:sz="4" w:space="0"/>
              <w:right w:val="single" w:color="auto" w:sz="4" w:space="0"/>
            </w:tcBorders>
          </w:tcPr>
          <w:p w14:paraId="0E12DC78">
            <w:pPr>
              <w:widowControl w:val="0"/>
              <w:spacing w:line="240" w:lineRule="auto"/>
              <w:ind w:firstLine="0" w:firstLineChars="0"/>
              <w:jc w:val="center"/>
              <w:rPr>
                <w:rFonts w:hAnsi="仿宋"/>
                <w:b/>
                <w:sz w:val="24"/>
                <w:szCs w:val="24"/>
                <w:lang w:val="en-GB"/>
              </w:rPr>
            </w:pPr>
            <w:r>
              <w:rPr>
                <w:rFonts w:hint="eastAsia" w:hAnsi="仿宋"/>
                <w:b/>
                <w:sz w:val="24"/>
                <w:szCs w:val="24"/>
                <w:lang w:val="en-GB"/>
              </w:rPr>
              <w:t>逆回购方/债券融入方单位公章或预留印鉴</w:t>
            </w:r>
          </w:p>
          <w:p w14:paraId="6283F89F">
            <w:pPr>
              <w:widowControl w:val="0"/>
              <w:spacing w:line="240" w:lineRule="auto"/>
              <w:ind w:firstLine="0" w:firstLineChars="0"/>
              <w:rPr>
                <w:rFonts w:hAnsi="仿宋"/>
                <w:sz w:val="24"/>
                <w:szCs w:val="24"/>
                <w:lang w:val="en-GB"/>
              </w:rPr>
            </w:pPr>
          </w:p>
          <w:p w14:paraId="10A3D682">
            <w:pPr>
              <w:widowControl w:val="0"/>
              <w:spacing w:line="240" w:lineRule="auto"/>
              <w:ind w:firstLine="0" w:firstLineChars="0"/>
              <w:rPr>
                <w:rFonts w:hAnsi="仿宋"/>
                <w:sz w:val="24"/>
                <w:szCs w:val="24"/>
                <w:lang w:val="en-GB"/>
              </w:rPr>
            </w:pPr>
          </w:p>
          <w:p w14:paraId="39F4FE13">
            <w:pPr>
              <w:widowControl w:val="0"/>
              <w:spacing w:line="240" w:lineRule="auto"/>
              <w:ind w:firstLine="0" w:firstLineChars="0"/>
              <w:rPr>
                <w:rFonts w:hAnsi="仿宋"/>
                <w:sz w:val="24"/>
                <w:szCs w:val="24"/>
                <w:lang w:val="en-GB"/>
              </w:rPr>
            </w:pPr>
          </w:p>
          <w:p w14:paraId="515263F4">
            <w:pPr>
              <w:widowControl w:val="0"/>
              <w:spacing w:line="240" w:lineRule="auto"/>
              <w:ind w:firstLine="0" w:firstLineChars="0"/>
              <w:rPr>
                <w:rFonts w:hAnsi="仿宋"/>
                <w:sz w:val="24"/>
                <w:szCs w:val="24"/>
                <w:lang w:val="en-GB"/>
              </w:rPr>
            </w:pPr>
          </w:p>
          <w:p w14:paraId="646B64B2">
            <w:pPr>
              <w:widowControl w:val="0"/>
              <w:spacing w:line="240" w:lineRule="auto"/>
              <w:ind w:firstLine="0" w:firstLineChars="0"/>
              <w:rPr>
                <w:rFonts w:hAnsi="仿宋"/>
                <w:sz w:val="24"/>
                <w:szCs w:val="24"/>
                <w:lang w:val="en-GB"/>
              </w:rPr>
            </w:pPr>
          </w:p>
          <w:p w14:paraId="4F46A3FA">
            <w:pPr>
              <w:widowControl w:val="0"/>
              <w:spacing w:line="240" w:lineRule="auto"/>
              <w:ind w:firstLine="3120" w:firstLineChars="1300"/>
              <w:rPr>
                <w:rFonts w:hAnsi="仿宋"/>
                <w:sz w:val="24"/>
                <w:szCs w:val="24"/>
                <w:lang w:val="en-GB"/>
              </w:rPr>
            </w:pPr>
            <w:r>
              <w:rPr>
                <w:rFonts w:hAnsi="仿宋"/>
                <w:sz w:val="24"/>
                <w:szCs w:val="24"/>
                <w:lang w:val="en-GB"/>
              </w:rPr>
              <w:t>年</w:t>
            </w:r>
            <w:r>
              <w:rPr>
                <w:rFonts w:hint="eastAsia" w:hAnsi="仿宋"/>
                <w:sz w:val="24"/>
                <w:szCs w:val="24"/>
                <w:lang w:val="en-GB"/>
              </w:rPr>
              <w:t xml:space="preserve">    月    日</w:t>
            </w:r>
          </w:p>
        </w:tc>
      </w:tr>
    </w:tbl>
    <w:p w14:paraId="1FE02E6A">
      <w:pPr>
        <w:widowControl w:val="0"/>
        <w:spacing w:line="240" w:lineRule="auto"/>
        <w:ind w:firstLine="0" w:firstLineChars="0"/>
        <w:rPr>
          <w:rFonts w:ascii="Calibri"/>
          <w:snapToGrid/>
          <w:kern w:val="2"/>
          <w:sz w:val="24"/>
          <w:szCs w:val="22"/>
        </w:rPr>
      </w:pPr>
      <w:r>
        <w:rPr>
          <w:rFonts w:hint="eastAsia" w:ascii="Calibri"/>
          <w:b/>
          <w:snapToGrid/>
          <w:kern w:val="2"/>
          <w:sz w:val="24"/>
          <w:szCs w:val="22"/>
        </w:rPr>
        <w:t>填表说明</w:t>
      </w:r>
      <w:r>
        <w:rPr>
          <w:rFonts w:hint="eastAsia" w:hAnsi="仿宋"/>
          <w:b/>
          <w:bCs/>
          <w:snapToGrid/>
          <w:kern w:val="2"/>
          <w:sz w:val="24"/>
          <w:szCs w:val="22"/>
        </w:rPr>
        <w:t>（该填表说明可无需打印</w:t>
      </w:r>
      <w:r>
        <w:rPr>
          <w:rFonts w:hAnsi="仿宋"/>
          <w:b/>
          <w:bCs/>
          <w:snapToGrid/>
          <w:kern w:val="2"/>
          <w:sz w:val="24"/>
          <w:szCs w:val="22"/>
        </w:rPr>
        <w:t>）</w:t>
      </w:r>
      <w:r>
        <w:rPr>
          <w:rFonts w:hint="eastAsia" w:ascii="Calibri"/>
          <w:b/>
          <w:snapToGrid/>
          <w:kern w:val="2"/>
          <w:sz w:val="24"/>
          <w:szCs w:val="22"/>
        </w:rPr>
        <w:t>：</w:t>
      </w:r>
      <w:r>
        <w:rPr>
          <w:rFonts w:ascii="Calibri"/>
          <w:snapToGrid/>
          <w:kern w:val="2"/>
          <w:sz w:val="24"/>
          <w:szCs w:val="22"/>
        </w:rPr>
        <w:t xml:space="preserve"> </w:t>
      </w:r>
    </w:p>
    <w:p w14:paraId="5CF01CDD">
      <w:pPr>
        <w:pStyle w:val="30"/>
        <w:widowControl w:val="0"/>
        <w:numPr>
          <w:ilvl w:val="-1"/>
          <w:numId w:val="0"/>
        </w:numPr>
        <w:spacing w:line="240" w:lineRule="auto"/>
        <w:ind w:left="0" w:firstLine="0" w:firstLineChars="0"/>
        <w:rPr>
          <w:rFonts w:hAnsi="仿宋"/>
          <w:sz w:val="24"/>
        </w:rPr>
      </w:pPr>
      <w:r>
        <w:rPr>
          <w:rFonts w:hint="eastAsia" w:hAnsi="仿宋"/>
          <w:sz w:val="24"/>
          <w:lang w:val="en-US" w:eastAsia="zh-CN"/>
        </w:rPr>
        <w:t>1.</w:t>
      </w:r>
      <w:r>
        <w:rPr>
          <w:rFonts w:hint="eastAsia" w:hAnsi="仿宋"/>
          <w:sz w:val="24"/>
        </w:rPr>
        <w:t>因网络、系统或其他原因，若结算双方任一方无法及时通过综合业务系统客户端完成到期现金交割指令发起或确认操作的，应在不晚于现金交割指令发起当日16:30之前，</w:t>
      </w:r>
      <w:r>
        <w:rPr>
          <w:rFonts w:hint="eastAsia" w:hAnsi="仿宋"/>
          <w:sz w:val="24"/>
          <w:lang w:eastAsia="zh-CN"/>
        </w:rPr>
        <w:t>通过电子邮件方式</w:t>
      </w:r>
      <w:r>
        <w:rPr>
          <w:rFonts w:hint="eastAsia" w:hAnsi="仿宋"/>
          <w:sz w:val="24"/>
        </w:rPr>
        <w:t>向上海清算所运营部提交《到期结算现金交割业务应急指令书》PDF格式盖章扫描件方式办理。</w:t>
      </w:r>
      <w:r>
        <w:rPr>
          <w:rFonts w:hint="eastAsia" w:hAnsi="仿宋"/>
          <w:sz w:val="24"/>
          <w:lang w:eastAsia="zh-CN"/>
        </w:rPr>
        <w:t>除备注信息外，</w:t>
      </w:r>
      <w:r>
        <w:rPr>
          <w:rFonts w:hint="eastAsia" w:hAnsi="仿宋"/>
          <w:sz w:val="24"/>
        </w:rPr>
        <w:t>应急指令书</w:t>
      </w:r>
      <w:r>
        <w:rPr>
          <w:rFonts w:hint="eastAsia" w:hAnsi="仿宋"/>
          <w:snapToGrid/>
          <w:kern w:val="2"/>
          <w:sz w:val="24"/>
          <w:szCs w:val="22"/>
          <w:lang w:eastAsia="zh-CN"/>
        </w:rPr>
        <w:t>中各项</w:t>
      </w:r>
      <w:r>
        <w:rPr>
          <w:rFonts w:hint="eastAsia" w:hAnsi="仿宋"/>
          <w:snapToGrid/>
          <w:kern w:val="2"/>
          <w:sz w:val="24"/>
          <w:szCs w:val="22"/>
        </w:rPr>
        <w:t>内容均为必填项</w:t>
      </w:r>
      <w:r>
        <w:rPr>
          <w:rFonts w:hint="eastAsia" w:hAnsi="仿宋"/>
          <w:snapToGrid/>
          <w:kern w:val="2"/>
          <w:sz w:val="24"/>
          <w:szCs w:val="22"/>
          <w:lang w:eastAsia="zh-CN"/>
        </w:rPr>
        <w:t>，相关</w:t>
      </w:r>
      <w:r>
        <w:rPr>
          <w:rFonts w:hint="eastAsia" w:hAnsi="仿宋"/>
          <w:snapToGrid/>
          <w:kern w:val="2"/>
          <w:sz w:val="24"/>
          <w:szCs w:val="22"/>
        </w:rPr>
        <w:t>信息请勿手写</w:t>
      </w:r>
      <w:r>
        <w:rPr>
          <w:rFonts w:hint="eastAsia" w:hAnsi="仿宋"/>
          <w:snapToGrid/>
          <w:kern w:val="2"/>
          <w:sz w:val="24"/>
          <w:szCs w:val="22"/>
          <w:lang w:eastAsia="zh-CN"/>
        </w:rPr>
        <w:t>。</w:t>
      </w:r>
    </w:p>
    <w:p w14:paraId="6947CB44">
      <w:pPr>
        <w:pStyle w:val="30"/>
        <w:numPr>
          <w:ilvl w:val="-1"/>
          <w:numId w:val="0"/>
        </w:numPr>
        <w:spacing w:line="240" w:lineRule="auto"/>
        <w:ind w:left="0" w:firstLine="0" w:firstLineChars="0"/>
        <w:rPr>
          <w:rFonts w:hAnsi="仿宋"/>
          <w:sz w:val="24"/>
        </w:rPr>
      </w:pPr>
      <w:r>
        <w:rPr>
          <w:rFonts w:hint="eastAsia" w:hAnsi="仿宋"/>
          <w:sz w:val="24"/>
          <w:lang w:val="en-US" w:eastAsia="zh-CN"/>
        </w:rPr>
        <w:t>2.</w:t>
      </w:r>
      <w:r>
        <w:rPr>
          <w:rFonts w:hint="eastAsia" w:hAnsi="仿宋"/>
          <w:sz w:val="24"/>
        </w:rPr>
        <w:t>本申请表适用于买断式回购，以及标的券、质押券均登记托管在上海清算所的普通债券借贷，也适用于标的券登记托管在上海清算所的跨</w:t>
      </w:r>
      <w:r>
        <w:rPr>
          <w:rFonts w:hint="eastAsia" w:hAnsi="仿宋"/>
          <w:sz w:val="24"/>
          <w:lang w:eastAsia="zh-CN"/>
        </w:rPr>
        <w:t>托管</w:t>
      </w:r>
      <w:r>
        <w:rPr>
          <w:rFonts w:hint="eastAsia" w:hAnsi="仿宋"/>
          <w:sz w:val="24"/>
        </w:rPr>
        <w:t>机构</w:t>
      </w:r>
      <w:r>
        <w:rPr>
          <w:rFonts w:hint="eastAsia" w:hAnsi="仿宋"/>
          <w:sz w:val="24"/>
          <w:lang w:eastAsia="zh-CN"/>
        </w:rPr>
        <w:t>债券</w:t>
      </w:r>
      <w:r>
        <w:rPr>
          <w:rFonts w:hint="eastAsia" w:hAnsi="仿宋"/>
          <w:sz w:val="24"/>
        </w:rPr>
        <w:t>借贷。</w:t>
      </w:r>
    </w:p>
    <w:p w14:paraId="0C022B9D">
      <w:pPr>
        <w:pStyle w:val="30"/>
        <w:numPr>
          <w:ilvl w:val="-1"/>
          <w:numId w:val="0"/>
        </w:numPr>
        <w:spacing w:line="240" w:lineRule="auto"/>
        <w:ind w:left="0" w:firstLine="0" w:firstLineChars="0"/>
        <w:rPr>
          <w:rFonts w:hAnsi="仿宋"/>
          <w:b w:val="0"/>
          <w:bCs w:val="0"/>
          <w:sz w:val="24"/>
        </w:rPr>
      </w:pPr>
      <w:r>
        <w:rPr>
          <w:rFonts w:hint="eastAsia" w:hAnsi="仿宋"/>
          <w:sz w:val="24"/>
          <w:lang w:val="en-US" w:eastAsia="zh-CN"/>
        </w:rPr>
        <w:t>3.</w:t>
      </w:r>
      <w:r>
        <w:rPr>
          <w:rFonts w:hint="eastAsia" w:hAnsi="仿宋"/>
          <w:b w:val="0"/>
          <w:bCs w:val="0"/>
          <w:sz w:val="24"/>
        </w:rPr>
        <w:t>对于买断式回购，请根据业务实际情况</w:t>
      </w:r>
      <w:r>
        <w:rPr>
          <w:rFonts w:hint="eastAsia" w:hAnsi="仿宋"/>
          <w:b w:val="0"/>
          <w:bCs w:val="0"/>
          <w:sz w:val="24"/>
          <w:lang w:eastAsia="zh-CN"/>
        </w:rPr>
        <w:t>选择</w:t>
      </w:r>
      <w:r>
        <w:rPr>
          <w:rFonts w:hint="eastAsia" w:hAnsi="仿宋"/>
          <w:b w:val="0"/>
          <w:bCs w:val="0"/>
          <w:sz w:val="24"/>
        </w:rPr>
        <w:t>正回购方/逆回购方其中一方作为付款方；对于普通债券借贷、标的券登记在上海清算所的跨</w:t>
      </w:r>
      <w:r>
        <w:rPr>
          <w:rFonts w:hint="eastAsia" w:hAnsi="仿宋"/>
          <w:b w:val="0"/>
          <w:bCs w:val="0"/>
          <w:sz w:val="24"/>
          <w:lang w:eastAsia="zh-CN"/>
        </w:rPr>
        <w:t>托管</w:t>
      </w:r>
      <w:r>
        <w:rPr>
          <w:rFonts w:hint="eastAsia" w:hAnsi="仿宋"/>
          <w:b w:val="0"/>
          <w:bCs w:val="0"/>
          <w:sz w:val="24"/>
        </w:rPr>
        <w:t>机构</w:t>
      </w:r>
      <w:r>
        <w:rPr>
          <w:rFonts w:hint="eastAsia" w:hAnsi="仿宋"/>
          <w:b w:val="0"/>
          <w:bCs w:val="0"/>
          <w:sz w:val="24"/>
          <w:lang w:eastAsia="zh-CN"/>
        </w:rPr>
        <w:t>债券</w:t>
      </w:r>
      <w:r>
        <w:rPr>
          <w:rFonts w:hint="eastAsia" w:hAnsi="仿宋"/>
          <w:b w:val="0"/>
          <w:bCs w:val="0"/>
          <w:sz w:val="24"/>
        </w:rPr>
        <w:t>借贷，债券融入方应为付款方，即付款方账户信息应与债券融入方账户信息保持一致。</w:t>
      </w:r>
    </w:p>
    <w:p w14:paraId="7338E540">
      <w:pPr>
        <w:pStyle w:val="30"/>
        <w:widowControl w:val="0"/>
        <w:numPr>
          <w:ilvl w:val="-1"/>
          <w:numId w:val="0"/>
        </w:numPr>
        <w:spacing w:line="240" w:lineRule="auto"/>
        <w:ind w:left="0" w:firstLine="0" w:firstLineChars="0"/>
        <w:rPr>
          <w:rFonts w:hint="eastAsia" w:hAnsi="仿宋"/>
          <w:sz w:val="24"/>
        </w:rPr>
      </w:pPr>
      <w:r>
        <w:rPr>
          <w:rFonts w:hint="eastAsia" w:hAnsi="仿宋"/>
          <w:b w:val="0"/>
          <w:bCs w:val="0"/>
          <w:sz w:val="24"/>
          <w:lang w:val="en-US" w:eastAsia="zh-CN"/>
        </w:rPr>
        <w:t>4.</w:t>
      </w:r>
      <w:r>
        <w:rPr>
          <w:rFonts w:hint="eastAsia" w:hAnsi="仿宋"/>
          <w:b w:val="0"/>
          <w:bCs w:val="0"/>
          <w:sz w:val="24"/>
        </w:rPr>
        <w:t>对于业务应急类型为“到期结算现金交割指令发起操作应急”的操作，需由结算双方共同盖章</w:t>
      </w:r>
      <w:r>
        <w:rPr>
          <w:rFonts w:hint="eastAsia" w:hAnsi="仿宋"/>
          <w:b w:val="0"/>
          <w:bCs w:val="0"/>
          <w:sz w:val="24"/>
          <w:lang w:eastAsia="zh-CN"/>
        </w:rPr>
        <w:t>（公章或预留的结算业务印鉴）</w:t>
      </w:r>
      <w:r>
        <w:rPr>
          <w:rFonts w:hint="eastAsia" w:hAnsi="仿宋"/>
          <w:b w:val="0"/>
          <w:bCs w:val="0"/>
          <w:sz w:val="24"/>
        </w:rPr>
        <w:t>，并由其中一方及时通过电子邮件方式将本应急指令书PDF格式盖章扫描件发送至上海清算所运营部；对于业务</w:t>
      </w:r>
      <w:r>
        <w:rPr>
          <w:rFonts w:hint="eastAsia" w:hAnsi="仿宋"/>
          <w:sz w:val="24"/>
        </w:rPr>
        <w:t>应急类型为“到期结算现金交割指令确认操作应急”的操作，由无法通过综合业务系统客户端完成指令确认操作的结算一方加盖自身公章或预留</w:t>
      </w:r>
      <w:r>
        <w:rPr>
          <w:rFonts w:hint="eastAsia" w:hAnsi="仿宋"/>
          <w:sz w:val="24"/>
          <w:lang w:eastAsia="zh-CN"/>
        </w:rPr>
        <w:t>的结算业务</w:t>
      </w:r>
      <w:r>
        <w:rPr>
          <w:rFonts w:hint="eastAsia" w:hAnsi="仿宋"/>
          <w:sz w:val="24"/>
        </w:rPr>
        <w:t>印鉴后，通过电子邮件方式将本业务应急指令书PDF格式盖章扫描件发送至上海清算所运营部。</w:t>
      </w:r>
    </w:p>
    <w:p w14:paraId="520CF401">
      <w:pPr>
        <w:pStyle w:val="30"/>
        <w:widowControl w:val="0"/>
        <w:numPr>
          <w:ilvl w:val="-1"/>
          <w:numId w:val="0"/>
        </w:numPr>
        <w:spacing w:line="240" w:lineRule="auto"/>
        <w:ind w:left="0" w:firstLine="0" w:firstLineChars="0"/>
        <w:rPr>
          <w:rFonts w:hint="default" w:hAnsi="仿宋" w:eastAsia="仿宋"/>
          <w:b/>
          <w:bCs/>
          <w:sz w:val="24"/>
          <w:lang w:val="en-US" w:eastAsia="zh-CN"/>
        </w:rPr>
      </w:pPr>
      <w:r>
        <w:rPr>
          <w:rFonts w:hint="eastAsia" w:hAnsi="仿宋"/>
          <w:b/>
          <w:bCs/>
          <w:sz w:val="24"/>
          <w:lang w:val="en-US" w:eastAsia="zh-CN"/>
        </w:rPr>
        <w:t>5.请应急指令发送方在发送本应急指令书之前，需核查是否已在“</w:t>
      </w:r>
      <w:r>
        <w:rPr>
          <w:rFonts w:hint="eastAsia" w:hAnsi="仿宋"/>
          <w:b/>
          <w:bCs/>
          <w:sz w:val="24"/>
          <w:szCs w:val="24"/>
          <w:lang w:val="en-GB" w:eastAsia="zh-CN"/>
        </w:rPr>
        <w:t>□应急指令发送方</w:t>
      </w:r>
      <w:r>
        <w:rPr>
          <w:rFonts w:hint="eastAsia" w:hAnsi="仿宋"/>
          <w:b/>
          <w:bCs/>
          <w:sz w:val="24"/>
          <w:lang w:val="en-US" w:eastAsia="zh-CN"/>
        </w:rPr>
        <w:t>”处打“√”，并已加盖自身单位公章或预留的结算业务印鉴。</w:t>
      </w:r>
    </w:p>
    <w:p w14:paraId="660F9E43">
      <w:pPr>
        <w:widowControl w:val="0"/>
        <w:spacing w:line="240" w:lineRule="auto"/>
        <w:ind w:firstLine="0" w:firstLineChars="0"/>
        <w:jc w:val="both"/>
        <w:rPr>
          <w:rFonts w:hAnsi="仿宋"/>
          <w:b/>
          <w:snapToGrid/>
          <w:kern w:val="2"/>
          <w:sz w:val="24"/>
          <w:szCs w:val="22"/>
        </w:rPr>
      </w:pPr>
    </w:p>
    <w:p w14:paraId="6808977F">
      <w:pPr>
        <w:widowControl w:val="0"/>
        <w:spacing w:line="240" w:lineRule="auto"/>
        <w:ind w:firstLine="0" w:firstLineChars="0"/>
        <w:jc w:val="both"/>
        <w:rPr>
          <w:rFonts w:hAnsi="仿宋"/>
          <w:b/>
          <w:snapToGrid/>
          <w:kern w:val="2"/>
          <w:sz w:val="24"/>
          <w:szCs w:val="22"/>
        </w:rPr>
      </w:pPr>
      <w:r>
        <w:rPr>
          <w:rFonts w:hint="eastAsia" w:hAnsi="仿宋"/>
          <w:b/>
          <w:snapToGrid/>
          <w:kern w:val="2"/>
          <w:sz w:val="24"/>
          <w:szCs w:val="22"/>
        </w:rPr>
        <w:t>客户服务中心联系电话（负责日常业务问题解答）：</w:t>
      </w:r>
      <w:r>
        <w:rPr>
          <w:rFonts w:hAnsi="仿宋"/>
          <w:snapToGrid/>
          <w:kern w:val="2"/>
          <w:sz w:val="24"/>
          <w:szCs w:val="22"/>
        </w:rPr>
        <w:t>400-820-0002</w:t>
      </w:r>
    </w:p>
    <w:p w14:paraId="4EFAB9DA">
      <w:pPr>
        <w:widowControl w:val="0"/>
        <w:spacing w:line="240" w:lineRule="auto"/>
        <w:ind w:firstLine="0" w:firstLineChars="0"/>
        <w:jc w:val="both"/>
        <w:rPr>
          <w:rFonts w:hAnsi="仿宋"/>
          <w:b/>
          <w:bCs/>
          <w:snapToGrid/>
          <w:kern w:val="2"/>
          <w:sz w:val="24"/>
          <w:szCs w:val="36"/>
        </w:rPr>
      </w:pPr>
      <w:r>
        <w:rPr>
          <w:rFonts w:hint="eastAsia" w:hAnsi="仿宋"/>
          <w:b/>
          <w:bCs/>
          <w:snapToGrid/>
          <w:kern w:val="2"/>
          <w:sz w:val="24"/>
          <w:szCs w:val="36"/>
        </w:rPr>
        <w:t>运营咨询联系方式（负责材料受理及系统操作）：</w:t>
      </w:r>
    </w:p>
    <w:p w14:paraId="7AE5F7EE">
      <w:pPr>
        <w:widowControl w:val="0"/>
        <w:spacing w:line="240" w:lineRule="auto"/>
        <w:ind w:firstLine="0" w:firstLineChars="0"/>
        <w:jc w:val="both"/>
        <w:rPr>
          <w:rFonts w:hAnsi="仿宋"/>
          <w:snapToGrid/>
          <w:kern w:val="2"/>
          <w:sz w:val="24"/>
          <w:szCs w:val="22"/>
          <w:u w:val="none"/>
        </w:rPr>
      </w:pPr>
      <w:r>
        <w:rPr>
          <w:rFonts w:hint="eastAsia" w:hAnsi="仿宋"/>
          <w:snapToGrid/>
          <w:kern w:val="2"/>
          <w:sz w:val="24"/>
          <w:szCs w:val="22"/>
        </w:rPr>
        <w:t>联系电话：021-23198776；邮箱：</w:t>
      </w:r>
      <w:r>
        <w:rPr>
          <w:rStyle w:val="21"/>
          <w:rFonts w:hint="eastAsia" w:hAnsi="仿宋"/>
          <w:snapToGrid/>
          <w:color w:val="auto"/>
          <w:kern w:val="2"/>
          <w:sz w:val="24"/>
          <w:szCs w:val="22"/>
          <w:u w:val="none"/>
        </w:rPr>
        <w:t>account@shclearing.com.cn</w:t>
      </w:r>
    </w:p>
    <w:p w14:paraId="31E20F1B">
      <w:pPr>
        <w:pStyle w:val="32"/>
        <w:keepNext w:val="0"/>
        <w:keepLines w:val="0"/>
        <w:widowControl/>
        <w:topLinePunct/>
        <w:ind w:firstLine="0" w:firstLineChars="0"/>
        <w:rPr>
          <w:rFonts w:ascii="仿宋" w:hAnsi="仿宋" w:eastAsia="仿宋"/>
          <w:b w:val="0"/>
          <w:bCs w:val="0"/>
        </w:rPr>
      </w:pPr>
      <w:bookmarkStart w:id="98" w:name="_Toc231143360"/>
      <w:bookmarkStart w:id="99" w:name="_Toc270015903"/>
      <w:bookmarkStart w:id="100" w:name="_Toc1299885301"/>
      <w:bookmarkStart w:id="101" w:name="_Toc590776098"/>
      <w:bookmarkStart w:id="102" w:name="_Toc1504814467"/>
      <w:bookmarkStart w:id="103" w:name="_Toc402412536"/>
      <w:bookmarkStart w:id="104" w:name="_Toc474477400"/>
      <w:r>
        <w:rPr>
          <w:rFonts w:ascii="仿宋" w:hAnsi="仿宋" w:eastAsia="仿宋"/>
          <w:b w:val="0"/>
          <w:bCs w:val="0"/>
        </w:rPr>
        <w:t>附件3</w:t>
      </w:r>
      <w:bookmarkEnd w:id="98"/>
      <w:bookmarkEnd w:id="99"/>
      <w:bookmarkEnd w:id="100"/>
      <w:bookmarkEnd w:id="101"/>
      <w:bookmarkEnd w:id="102"/>
      <w:bookmarkEnd w:id="103"/>
      <w:bookmarkEnd w:id="104"/>
    </w:p>
    <w:p w14:paraId="0D065F0D">
      <w:pPr>
        <w:widowControl w:val="0"/>
        <w:spacing w:line="560" w:lineRule="exact"/>
        <w:ind w:firstLine="0" w:firstLineChars="0"/>
        <w:jc w:val="center"/>
        <w:rPr>
          <w:rFonts w:ascii="黑体" w:hAnsi="黑体" w:eastAsia="黑体"/>
          <w:snapToGrid/>
          <w:kern w:val="2"/>
          <w:sz w:val="36"/>
          <w:szCs w:val="36"/>
        </w:rPr>
      </w:pPr>
      <w:r>
        <w:rPr>
          <w:rFonts w:hint="eastAsia" w:ascii="黑体" w:hAnsi="黑体" w:eastAsia="黑体"/>
          <w:snapToGrid/>
          <w:kern w:val="2"/>
          <w:sz w:val="36"/>
          <w:szCs w:val="36"/>
        </w:rPr>
        <w:t>银行间市场清算所股份有限公司</w:t>
      </w:r>
    </w:p>
    <w:p w14:paraId="6D62AEF8">
      <w:pPr>
        <w:widowControl w:val="0"/>
        <w:spacing w:line="560" w:lineRule="exact"/>
        <w:ind w:firstLine="0" w:firstLineChars="0"/>
        <w:jc w:val="center"/>
        <w:rPr>
          <w:rFonts w:ascii="黑体" w:hAnsi="黑体" w:eastAsia="黑体"/>
          <w:snapToGrid/>
          <w:kern w:val="2"/>
          <w:sz w:val="36"/>
          <w:szCs w:val="36"/>
        </w:rPr>
      </w:pPr>
      <w:r>
        <w:rPr>
          <w:rFonts w:hint="eastAsia" w:ascii="黑体" w:hAnsi="黑体" w:eastAsia="黑体"/>
          <w:snapToGrid/>
          <w:kern w:val="2"/>
          <w:sz w:val="36"/>
          <w:szCs w:val="36"/>
        </w:rPr>
        <w:t>跨托管机构债券借贷到期逾期返售申请表</w:t>
      </w:r>
    </w:p>
    <w:tbl>
      <w:tblPr>
        <w:tblStyle w:val="18"/>
        <w:tblW w:w="10269" w:type="dxa"/>
        <w:jc w:val="center"/>
        <w:tblLayout w:type="autofit"/>
        <w:tblCellMar>
          <w:top w:w="0" w:type="dxa"/>
          <w:left w:w="108" w:type="dxa"/>
          <w:bottom w:w="0" w:type="dxa"/>
          <w:right w:w="108" w:type="dxa"/>
        </w:tblCellMar>
      </w:tblPr>
      <w:tblGrid>
        <w:gridCol w:w="3392"/>
        <w:gridCol w:w="1742"/>
        <w:gridCol w:w="69"/>
        <w:gridCol w:w="2867"/>
        <w:gridCol w:w="2199"/>
      </w:tblGrid>
      <w:tr w14:paraId="005334FC">
        <w:tblPrEx>
          <w:tblCellMar>
            <w:top w:w="0" w:type="dxa"/>
            <w:left w:w="108" w:type="dxa"/>
            <w:bottom w:w="0" w:type="dxa"/>
            <w:right w:w="108" w:type="dxa"/>
          </w:tblCellMar>
        </w:tblPrEx>
        <w:trPr>
          <w:jc w:val="center"/>
        </w:trPr>
        <w:tc>
          <w:tcPr>
            <w:tcW w:w="10269" w:type="dxa"/>
            <w:gridSpan w:val="5"/>
            <w:tcBorders>
              <w:top w:val="single" w:color="auto" w:sz="4" w:space="0"/>
              <w:left w:val="single" w:color="auto" w:sz="4" w:space="0"/>
              <w:bottom w:val="single" w:color="auto" w:sz="4" w:space="0"/>
              <w:right w:val="single" w:color="auto" w:sz="4" w:space="0"/>
            </w:tcBorders>
          </w:tcPr>
          <w:p w14:paraId="35EEB680">
            <w:pPr>
              <w:widowControl w:val="0"/>
              <w:spacing w:line="240" w:lineRule="auto"/>
              <w:ind w:firstLine="0" w:firstLineChars="0"/>
              <w:rPr>
                <w:rFonts w:hAnsi="仿宋"/>
                <w:b/>
                <w:sz w:val="24"/>
                <w:szCs w:val="24"/>
                <w:lang w:val="en-GB"/>
              </w:rPr>
            </w:pPr>
            <w:r>
              <w:rPr>
                <w:rFonts w:hAnsi="仿宋"/>
                <w:b/>
                <w:sz w:val="24"/>
                <w:szCs w:val="24"/>
                <w:lang w:val="en-GB"/>
              </w:rPr>
              <w:t>债券融入方账户信息</w:t>
            </w:r>
            <w:r>
              <w:rPr>
                <w:rFonts w:hint="eastAsia" w:hAnsi="仿宋"/>
                <w:b/>
                <w:sz w:val="24"/>
                <w:szCs w:val="24"/>
                <w:lang w:val="en-GB"/>
              </w:rPr>
              <w:t>：</w:t>
            </w:r>
          </w:p>
        </w:tc>
      </w:tr>
      <w:tr w14:paraId="49A44A29">
        <w:tblPrEx>
          <w:tblCellMar>
            <w:top w:w="0" w:type="dxa"/>
            <w:left w:w="108" w:type="dxa"/>
            <w:bottom w:w="0" w:type="dxa"/>
            <w:right w:w="108" w:type="dxa"/>
          </w:tblCellMar>
        </w:tblPrEx>
        <w:trPr>
          <w:jc w:val="center"/>
        </w:trPr>
        <w:tc>
          <w:tcPr>
            <w:tcW w:w="3392" w:type="dxa"/>
            <w:tcBorders>
              <w:top w:val="single" w:color="auto" w:sz="4" w:space="0"/>
              <w:left w:val="single" w:color="auto" w:sz="4" w:space="0"/>
              <w:bottom w:val="single" w:color="auto" w:sz="4" w:space="0"/>
              <w:right w:val="single" w:color="auto" w:sz="4" w:space="0"/>
            </w:tcBorders>
          </w:tcPr>
          <w:p w14:paraId="645D6D7F">
            <w:pPr>
              <w:widowControl w:val="0"/>
              <w:spacing w:line="240" w:lineRule="auto"/>
              <w:ind w:firstLine="0" w:firstLineChars="0"/>
              <w:rPr>
                <w:rFonts w:hAnsi="仿宋"/>
                <w:sz w:val="24"/>
                <w:szCs w:val="24"/>
                <w:lang w:val="en-GB"/>
              </w:rPr>
            </w:pPr>
            <w:r>
              <w:rPr>
                <w:rFonts w:hint="eastAsia" w:hAnsi="仿宋"/>
                <w:sz w:val="24"/>
                <w:szCs w:val="24"/>
                <w:lang w:val="en-GB"/>
              </w:rPr>
              <w:t>上海清算所债券账户账号</w:t>
            </w:r>
          </w:p>
        </w:tc>
        <w:tc>
          <w:tcPr>
            <w:tcW w:w="6877" w:type="dxa"/>
            <w:gridSpan w:val="4"/>
            <w:tcBorders>
              <w:top w:val="single" w:color="auto" w:sz="4" w:space="0"/>
              <w:left w:val="single" w:color="auto" w:sz="4" w:space="0"/>
              <w:bottom w:val="single" w:color="auto" w:sz="4" w:space="0"/>
              <w:right w:val="single" w:color="auto" w:sz="4" w:space="0"/>
            </w:tcBorders>
          </w:tcPr>
          <w:p w14:paraId="28A032C9">
            <w:pPr>
              <w:widowControl w:val="0"/>
              <w:spacing w:line="240" w:lineRule="auto"/>
              <w:ind w:firstLine="0" w:firstLineChars="0"/>
              <w:rPr>
                <w:rFonts w:hAnsi="仿宋"/>
                <w:sz w:val="24"/>
                <w:szCs w:val="24"/>
                <w:lang w:val="en-GB"/>
              </w:rPr>
            </w:pPr>
          </w:p>
        </w:tc>
      </w:tr>
      <w:tr w14:paraId="3D037941">
        <w:tblPrEx>
          <w:tblCellMar>
            <w:top w:w="0" w:type="dxa"/>
            <w:left w:w="108" w:type="dxa"/>
            <w:bottom w:w="0" w:type="dxa"/>
            <w:right w:w="108" w:type="dxa"/>
          </w:tblCellMar>
        </w:tblPrEx>
        <w:trPr>
          <w:jc w:val="center"/>
        </w:trPr>
        <w:tc>
          <w:tcPr>
            <w:tcW w:w="3392" w:type="dxa"/>
            <w:tcBorders>
              <w:top w:val="single" w:color="auto" w:sz="4" w:space="0"/>
              <w:left w:val="single" w:color="auto" w:sz="4" w:space="0"/>
              <w:bottom w:val="single" w:color="auto" w:sz="4" w:space="0"/>
              <w:right w:val="single" w:color="auto" w:sz="4" w:space="0"/>
            </w:tcBorders>
          </w:tcPr>
          <w:p w14:paraId="0F8C96D4">
            <w:pPr>
              <w:widowControl w:val="0"/>
              <w:spacing w:line="240" w:lineRule="auto"/>
              <w:ind w:firstLine="0" w:firstLineChars="0"/>
              <w:rPr>
                <w:rFonts w:hAnsi="仿宋"/>
                <w:sz w:val="24"/>
                <w:szCs w:val="24"/>
                <w:lang w:val="en-GB"/>
              </w:rPr>
            </w:pPr>
            <w:r>
              <w:rPr>
                <w:rFonts w:hint="eastAsia" w:hAnsi="仿宋"/>
                <w:sz w:val="24"/>
                <w:szCs w:val="24"/>
                <w:lang w:val="en-GB"/>
              </w:rPr>
              <w:t>上海清算所债券账户全称</w:t>
            </w:r>
          </w:p>
        </w:tc>
        <w:tc>
          <w:tcPr>
            <w:tcW w:w="6877" w:type="dxa"/>
            <w:gridSpan w:val="4"/>
            <w:tcBorders>
              <w:top w:val="single" w:color="auto" w:sz="4" w:space="0"/>
              <w:left w:val="single" w:color="auto" w:sz="4" w:space="0"/>
              <w:bottom w:val="single" w:color="auto" w:sz="4" w:space="0"/>
              <w:right w:val="single" w:color="auto" w:sz="4" w:space="0"/>
            </w:tcBorders>
          </w:tcPr>
          <w:p w14:paraId="6DBB7088">
            <w:pPr>
              <w:widowControl w:val="0"/>
              <w:spacing w:line="240" w:lineRule="auto"/>
              <w:ind w:firstLine="0" w:firstLineChars="0"/>
              <w:rPr>
                <w:rFonts w:hAnsi="仿宋"/>
                <w:sz w:val="24"/>
                <w:szCs w:val="24"/>
                <w:lang w:val="en-GB"/>
              </w:rPr>
            </w:pPr>
          </w:p>
        </w:tc>
      </w:tr>
      <w:tr w14:paraId="2FA72D16">
        <w:trPr>
          <w:jc w:val="center"/>
        </w:trPr>
        <w:tc>
          <w:tcPr>
            <w:tcW w:w="10269" w:type="dxa"/>
            <w:gridSpan w:val="5"/>
            <w:tcBorders>
              <w:top w:val="single" w:color="auto" w:sz="4" w:space="0"/>
              <w:left w:val="single" w:color="auto" w:sz="4" w:space="0"/>
              <w:bottom w:val="single" w:color="auto" w:sz="4" w:space="0"/>
              <w:right w:val="single" w:color="auto" w:sz="4" w:space="0"/>
            </w:tcBorders>
          </w:tcPr>
          <w:p w14:paraId="3A7D6F9C">
            <w:pPr>
              <w:widowControl w:val="0"/>
              <w:spacing w:line="240" w:lineRule="auto"/>
              <w:ind w:firstLine="0" w:firstLineChars="0"/>
              <w:rPr>
                <w:rFonts w:hAnsi="仿宋"/>
                <w:b/>
                <w:sz w:val="24"/>
                <w:szCs w:val="24"/>
                <w:lang w:val="en-GB"/>
              </w:rPr>
            </w:pPr>
            <w:r>
              <w:rPr>
                <w:rFonts w:hAnsi="仿宋"/>
                <w:b/>
                <w:sz w:val="24"/>
                <w:szCs w:val="24"/>
                <w:lang w:val="en-GB"/>
              </w:rPr>
              <w:t>债券融</w:t>
            </w:r>
            <w:r>
              <w:rPr>
                <w:rFonts w:hint="eastAsia" w:hAnsi="仿宋"/>
                <w:b/>
                <w:sz w:val="24"/>
                <w:szCs w:val="24"/>
                <w:lang w:val="en-GB"/>
              </w:rPr>
              <w:t>出</w:t>
            </w:r>
            <w:r>
              <w:rPr>
                <w:rFonts w:hAnsi="仿宋"/>
                <w:b/>
                <w:sz w:val="24"/>
                <w:szCs w:val="24"/>
                <w:lang w:val="en-GB"/>
              </w:rPr>
              <w:t>方账户信息</w:t>
            </w:r>
            <w:r>
              <w:rPr>
                <w:rFonts w:hint="eastAsia" w:hAnsi="仿宋"/>
                <w:b/>
                <w:sz w:val="24"/>
                <w:szCs w:val="24"/>
                <w:lang w:val="en-GB"/>
              </w:rPr>
              <w:t>：</w:t>
            </w:r>
          </w:p>
        </w:tc>
      </w:tr>
      <w:tr w14:paraId="1B9A05F3">
        <w:tblPrEx>
          <w:tblCellMar>
            <w:top w:w="0" w:type="dxa"/>
            <w:left w:w="108" w:type="dxa"/>
            <w:bottom w:w="0" w:type="dxa"/>
            <w:right w:w="108" w:type="dxa"/>
          </w:tblCellMar>
        </w:tblPrEx>
        <w:trPr>
          <w:jc w:val="center"/>
        </w:trPr>
        <w:tc>
          <w:tcPr>
            <w:tcW w:w="3392" w:type="dxa"/>
            <w:tcBorders>
              <w:top w:val="single" w:color="auto" w:sz="4" w:space="0"/>
              <w:left w:val="single" w:color="auto" w:sz="4" w:space="0"/>
              <w:bottom w:val="single" w:color="auto" w:sz="4" w:space="0"/>
              <w:right w:val="single" w:color="auto" w:sz="4" w:space="0"/>
            </w:tcBorders>
          </w:tcPr>
          <w:p w14:paraId="532F87F9">
            <w:pPr>
              <w:widowControl w:val="0"/>
              <w:spacing w:line="240" w:lineRule="auto"/>
              <w:ind w:firstLine="0" w:firstLineChars="0"/>
              <w:rPr>
                <w:rFonts w:hAnsi="仿宋"/>
                <w:sz w:val="24"/>
                <w:szCs w:val="24"/>
                <w:lang w:val="en-GB"/>
              </w:rPr>
            </w:pPr>
            <w:r>
              <w:rPr>
                <w:rFonts w:hint="eastAsia" w:hAnsi="仿宋"/>
                <w:sz w:val="24"/>
                <w:szCs w:val="24"/>
                <w:lang w:val="en-GB"/>
              </w:rPr>
              <w:t>上海清算所债券账户账号</w:t>
            </w:r>
          </w:p>
        </w:tc>
        <w:tc>
          <w:tcPr>
            <w:tcW w:w="6877" w:type="dxa"/>
            <w:gridSpan w:val="4"/>
            <w:tcBorders>
              <w:top w:val="single" w:color="auto" w:sz="4" w:space="0"/>
              <w:left w:val="single" w:color="auto" w:sz="4" w:space="0"/>
              <w:bottom w:val="single" w:color="auto" w:sz="4" w:space="0"/>
              <w:right w:val="single" w:color="auto" w:sz="4" w:space="0"/>
            </w:tcBorders>
          </w:tcPr>
          <w:p w14:paraId="4375C510">
            <w:pPr>
              <w:widowControl w:val="0"/>
              <w:spacing w:line="240" w:lineRule="auto"/>
              <w:ind w:firstLine="0" w:firstLineChars="0"/>
              <w:rPr>
                <w:rFonts w:hAnsi="仿宋"/>
                <w:sz w:val="24"/>
                <w:szCs w:val="24"/>
                <w:lang w:val="en-GB"/>
              </w:rPr>
            </w:pPr>
          </w:p>
        </w:tc>
      </w:tr>
      <w:tr w14:paraId="3FE419DC">
        <w:tblPrEx>
          <w:tblCellMar>
            <w:top w:w="0" w:type="dxa"/>
            <w:left w:w="108" w:type="dxa"/>
            <w:bottom w:w="0" w:type="dxa"/>
            <w:right w:w="108" w:type="dxa"/>
          </w:tblCellMar>
        </w:tblPrEx>
        <w:trPr>
          <w:jc w:val="center"/>
        </w:trPr>
        <w:tc>
          <w:tcPr>
            <w:tcW w:w="3392" w:type="dxa"/>
            <w:tcBorders>
              <w:top w:val="single" w:color="auto" w:sz="4" w:space="0"/>
              <w:left w:val="single" w:color="auto" w:sz="4" w:space="0"/>
              <w:bottom w:val="single" w:color="auto" w:sz="4" w:space="0"/>
              <w:right w:val="single" w:color="auto" w:sz="4" w:space="0"/>
            </w:tcBorders>
          </w:tcPr>
          <w:p w14:paraId="4312F007">
            <w:pPr>
              <w:widowControl w:val="0"/>
              <w:spacing w:line="240" w:lineRule="auto"/>
              <w:ind w:firstLine="0" w:firstLineChars="0"/>
              <w:rPr>
                <w:rFonts w:hAnsi="仿宋"/>
                <w:sz w:val="24"/>
                <w:szCs w:val="24"/>
                <w:lang w:val="en-GB"/>
              </w:rPr>
            </w:pPr>
            <w:r>
              <w:rPr>
                <w:rFonts w:hint="eastAsia" w:hAnsi="仿宋"/>
                <w:sz w:val="24"/>
                <w:szCs w:val="24"/>
                <w:lang w:val="en-GB"/>
              </w:rPr>
              <w:t>上海清算所债券账户全称</w:t>
            </w:r>
          </w:p>
        </w:tc>
        <w:tc>
          <w:tcPr>
            <w:tcW w:w="6877" w:type="dxa"/>
            <w:gridSpan w:val="4"/>
            <w:tcBorders>
              <w:top w:val="single" w:color="auto" w:sz="4" w:space="0"/>
              <w:left w:val="single" w:color="auto" w:sz="4" w:space="0"/>
              <w:bottom w:val="single" w:color="auto" w:sz="4" w:space="0"/>
              <w:right w:val="single" w:color="auto" w:sz="4" w:space="0"/>
            </w:tcBorders>
          </w:tcPr>
          <w:p w14:paraId="5D49F9AA">
            <w:pPr>
              <w:widowControl w:val="0"/>
              <w:spacing w:line="240" w:lineRule="auto"/>
              <w:ind w:firstLine="0" w:firstLineChars="0"/>
              <w:rPr>
                <w:rFonts w:hAnsi="仿宋"/>
                <w:sz w:val="24"/>
                <w:szCs w:val="24"/>
                <w:lang w:val="en-GB"/>
              </w:rPr>
            </w:pPr>
          </w:p>
        </w:tc>
      </w:tr>
      <w:tr w14:paraId="78151B06">
        <w:tblPrEx>
          <w:tblCellMar>
            <w:top w:w="0" w:type="dxa"/>
            <w:left w:w="108" w:type="dxa"/>
            <w:bottom w:w="0" w:type="dxa"/>
            <w:right w:w="108" w:type="dxa"/>
          </w:tblCellMar>
        </w:tblPrEx>
        <w:trPr>
          <w:jc w:val="center"/>
        </w:trPr>
        <w:tc>
          <w:tcPr>
            <w:tcW w:w="10269" w:type="dxa"/>
            <w:gridSpan w:val="5"/>
            <w:tcBorders>
              <w:top w:val="single" w:color="auto" w:sz="4" w:space="0"/>
              <w:left w:val="single" w:color="auto" w:sz="4" w:space="0"/>
              <w:bottom w:val="single" w:color="auto" w:sz="4" w:space="0"/>
              <w:right w:val="single" w:color="auto" w:sz="4" w:space="0"/>
            </w:tcBorders>
          </w:tcPr>
          <w:p w14:paraId="4B068527">
            <w:pPr>
              <w:widowControl w:val="0"/>
              <w:spacing w:line="240" w:lineRule="auto"/>
              <w:ind w:firstLine="0" w:firstLineChars="0"/>
              <w:jc w:val="center"/>
              <w:rPr>
                <w:rFonts w:hAnsi="仿宋"/>
                <w:b/>
                <w:sz w:val="24"/>
                <w:szCs w:val="24"/>
                <w:lang w:val="en-GB"/>
              </w:rPr>
            </w:pPr>
            <w:r>
              <w:rPr>
                <w:rFonts w:hint="eastAsia" w:hAnsi="仿宋"/>
                <w:b/>
                <w:sz w:val="24"/>
                <w:szCs w:val="24"/>
                <w:lang w:val="en-GB"/>
              </w:rPr>
              <w:t>到期逾期返售结算信息</w:t>
            </w:r>
          </w:p>
        </w:tc>
      </w:tr>
      <w:tr w14:paraId="70F0DAF2">
        <w:trPr>
          <w:jc w:val="center"/>
        </w:trPr>
        <w:tc>
          <w:tcPr>
            <w:tcW w:w="3392" w:type="dxa"/>
            <w:tcBorders>
              <w:top w:val="single" w:color="auto" w:sz="4" w:space="0"/>
              <w:left w:val="single" w:color="auto" w:sz="4" w:space="0"/>
              <w:bottom w:val="single" w:color="auto" w:sz="4" w:space="0"/>
              <w:right w:val="single" w:color="auto" w:sz="4" w:space="0"/>
            </w:tcBorders>
          </w:tcPr>
          <w:p w14:paraId="47AC35B9">
            <w:pPr>
              <w:widowControl w:val="0"/>
              <w:spacing w:line="240" w:lineRule="auto"/>
              <w:ind w:firstLine="0" w:firstLineChars="0"/>
              <w:rPr>
                <w:rFonts w:hAnsi="仿宋"/>
                <w:sz w:val="24"/>
                <w:szCs w:val="24"/>
                <w:lang w:val="en-GB"/>
              </w:rPr>
            </w:pPr>
            <w:r>
              <w:rPr>
                <w:rFonts w:hint="eastAsia" w:hAnsi="仿宋"/>
                <w:sz w:val="24"/>
                <w:szCs w:val="24"/>
                <w:lang w:val="en-GB"/>
              </w:rPr>
              <w:t>外汇交易中心成交编号</w:t>
            </w:r>
          </w:p>
        </w:tc>
        <w:tc>
          <w:tcPr>
            <w:tcW w:w="6877" w:type="dxa"/>
            <w:gridSpan w:val="4"/>
            <w:tcBorders>
              <w:top w:val="single" w:color="auto" w:sz="4" w:space="0"/>
              <w:left w:val="single" w:color="auto" w:sz="4" w:space="0"/>
              <w:bottom w:val="single" w:color="auto" w:sz="4" w:space="0"/>
              <w:right w:val="single" w:color="auto" w:sz="4" w:space="0"/>
            </w:tcBorders>
          </w:tcPr>
          <w:p w14:paraId="6CF34908">
            <w:pPr>
              <w:widowControl w:val="0"/>
              <w:spacing w:line="240" w:lineRule="auto"/>
              <w:ind w:firstLine="0" w:firstLineChars="0"/>
              <w:rPr>
                <w:rFonts w:hAnsi="仿宋"/>
                <w:sz w:val="24"/>
                <w:szCs w:val="24"/>
                <w:lang w:val="en-GB"/>
              </w:rPr>
            </w:pPr>
          </w:p>
        </w:tc>
      </w:tr>
      <w:tr w14:paraId="5E9D6EF4">
        <w:tblPrEx>
          <w:tblCellMar>
            <w:top w:w="0" w:type="dxa"/>
            <w:left w:w="108" w:type="dxa"/>
            <w:bottom w:w="0" w:type="dxa"/>
            <w:right w:w="108" w:type="dxa"/>
          </w:tblCellMar>
        </w:tblPrEx>
        <w:trPr>
          <w:jc w:val="center"/>
        </w:trPr>
        <w:tc>
          <w:tcPr>
            <w:tcW w:w="3392" w:type="dxa"/>
            <w:tcBorders>
              <w:top w:val="single" w:color="auto" w:sz="4" w:space="0"/>
              <w:left w:val="single" w:color="auto" w:sz="4" w:space="0"/>
              <w:bottom w:val="single" w:color="auto" w:sz="4" w:space="0"/>
              <w:right w:val="single" w:color="auto" w:sz="4" w:space="0"/>
            </w:tcBorders>
          </w:tcPr>
          <w:p w14:paraId="0488DA27">
            <w:pPr>
              <w:widowControl w:val="0"/>
              <w:spacing w:line="240" w:lineRule="auto"/>
              <w:ind w:firstLine="0" w:firstLineChars="0"/>
              <w:rPr>
                <w:rFonts w:hAnsi="仿宋"/>
                <w:sz w:val="24"/>
                <w:szCs w:val="24"/>
                <w:lang w:val="en-GB"/>
              </w:rPr>
            </w:pPr>
            <w:r>
              <w:rPr>
                <w:rFonts w:hAnsi="仿宋"/>
                <w:sz w:val="24"/>
                <w:szCs w:val="24"/>
                <w:lang w:val="en-GB"/>
              </w:rPr>
              <w:t>标的券托管机构</w:t>
            </w:r>
          </w:p>
        </w:tc>
        <w:tc>
          <w:tcPr>
            <w:tcW w:w="6877" w:type="dxa"/>
            <w:gridSpan w:val="4"/>
            <w:tcBorders>
              <w:top w:val="single" w:color="auto" w:sz="4" w:space="0"/>
              <w:left w:val="single" w:color="auto" w:sz="4" w:space="0"/>
              <w:bottom w:val="single" w:color="auto" w:sz="4" w:space="0"/>
              <w:right w:val="single" w:color="auto" w:sz="4" w:space="0"/>
            </w:tcBorders>
          </w:tcPr>
          <w:p w14:paraId="2AC3E36F">
            <w:pPr>
              <w:widowControl w:val="0"/>
              <w:tabs>
                <w:tab w:val="left" w:pos="2512"/>
                <w:tab w:val="center" w:pos="3475"/>
              </w:tabs>
              <w:spacing w:line="240" w:lineRule="auto"/>
              <w:ind w:firstLine="0" w:firstLineChars="0"/>
              <w:rPr>
                <w:rFonts w:hAnsi="仿宋"/>
                <w:sz w:val="24"/>
                <w:szCs w:val="24"/>
                <w:lang w:val="en-GB"/>
              </w:rPr>
            </w:pPr>
            <w:r>
              <w:rPr>
                <w:rFonts w:hAnsi="仿宋"/>
                <w:sz w:val="24"/>
                <w:szCs w:val="24"/>
                <w:lang w:val="en-GB"/>
              </w:rPr>
              <w:tab/>
            </w:r>
            <w:r>
              <w:rPr>
                <w:rFonts w:hAnsi="仿宋"/>
                <w:sz w:val="24"/>
                <w:szCs w:val="24"/>
                <w:lang w:val="en-GB"/>
              </w:rPr>
              <w:tab/>
            </w:r>
            <w:r>
              <w:rPr>
                <w:rFonts w:hAnsi="仿宋"/>
                <w:sz w:val="24"/>
                <w:szCs w:val="24"/>
                <w:lang w:val="en-GB"/>
              </w:rPr>
              <w:t>上海清算所</w:t>
            </w:r>
          </w:p>
        </w:tc>
      </w:tr>
      <w:tr w14:paraId="4DAE0590">
        <w:tblPrEx>
          <w:tblCellMar>
            <w:top w:w="0" w:type="dxa"/>
            <w:left w:w="108" w:type="dxa"/>
            <w:bottom w:w="0" w:type="dxa"/>
            <w:right w:w="108" w:type="dxa"/>
          </w:tblCellMar>
        </w:tblPrEx>
        <w:trPr>
          <w:jc w:val="center"/>
        </w:trPr>
        <w:tc>
          <w:tcPr>
            <w:tcW w:w="3392" w:type="dxa"/>
            <w:tcBorders>
              <w:top w:val="single" w:color="auto" w:sz="4" w:space="0"/>
              <w:left w:val="single" w:color="auto" w:sz="4" w:space="0"/>
              <w:bottom w:val="single" w:color="auto" w:sz="4" w:space="0"/>
              <w:right w:val="single" w:color="auto" w:sz="4" w:space="0"/>
            </w:tcBorders>
            <w:vAlign w:val="center"/>
          </w:tcPr>
          <w:p w14:paraId="15600301">
            <w:pPr>
              <w:widowControl w:val="0"/>
              <w:spacing w:line="240" w:lineRule="auto"/>
              <w:ind w:firstLine="0" w:firstLineChars="0"/>
              <w:jc w:val="both"/>
              <w:rPr>
                <w:rFonts w:hAnsi="仿宋"/>
                <w:sz w:val="24"/>
                <w:szCs w:val="24"/>
                <w:lang w:val="en-GB"/>
              </w:rPr>
            </w:pPr>
            <w:r>
              <w:rPr>
                <w:rFonts w:hAnsi="仿宋"/>
                <w:sz w:val="24"/>
                <w:szCs w:val="24"/>
                <w:lang w:val="en-GB"/>
              </w:rPr>
              <w:t>原到期结算失败原因</w:t>
            </w:r>
          </w:p>
        </w:tc>
        <w:tc>
          <w:tcPr>
            <w:tcW w:w="6877" w:type="dxa"/>
            <w:gridSpan w:val="4"/>
            <w:tcBorders>
              <w:top w:val="single" w:color="auto" w:sz="4" w:space="0"/>
              <w:left w:val="single" w:color="auto" w:sz="4" w:space="0"/>
              <w:bottom w:val="single" w:color="auto" w:sz="4" w:space="0"/>
              <w:right w:val="single" w:color="auto" w:sz="4" w:space="0"/>
            </w:tcBorders>
          </w:tcPr>
          <w:p w14:paraId="7FA4E36D">
            <w:pPr>
              <w:widowControl w:val="0"/>
              <w:spacing w:line="240" w:lineRule="auto"/>
              <w:ind w:firstLine="0" w:firstLineChars="0"/>
              <w:rPr>
                <w:rFonts w:hAnsi="仿宋"/>
                <w:sz w:val="24"/>
                <w:szCs w:val="24"/>
                <w:lang w:val="en-GB"/>
              </w:rPr>
            </w:pPr>
          </w:p>
          <w:p w14:paraId="2671BD9B">
            <w:pPr>
              <w:widowControl w:val="0"/>
              <w:spacing w:line="240" w:lineRule="auto"/>
              <w:ind w:firstLine="0" w:firstLineChars="0"/>
              <w:rPr>
                <w:rFonts w:hAnsi="仿宋"/>
                <w:sz w:val="24"/>
                <w:szCs w:val="24"/>
                <w:lang w:val="en-GB"/>
              </w:rPr>
            </w:pPr>
          </w:p>
          <w:p w14:paraId="26C6A7D7">
            <w:pPr>
              <w:widowControl w:val="0"/>
              <w:spacing w:line="240" w:lineRule="auto"/>
              <w:ind w:firstLine="0" w:firstLineChars="0"/>
              <w:rPr>
                <w:rFonts w:hAnsi="仿宋"/>
                <w:sz w:val="24"/>
                <w:szCs w:val="24"/>
                <w:lang w:val="en-GB"/>
              </w:rPr>
            </w:pPr>
          </w:p>
        </w:tc>
      </w:tr>
      <w:tr w14:paraId="738E4BAF">
        <w:tblPrEx>
          <w:tblCellMar>
            <w:top w:w="0" w:type="dxa"/>
            <w:left w:w="108" w:type="dxa"/>
            <w:bottom w:w="0" w:type="dxa"/>
            <w:right w:w="108" w:type="dxa"/>
          </w:tblCellMar>
        </w:tblPrEx>
        <w:trPr>
          <w:jc w:val="center"/>
        </w:trPr>
        <w:tc>
          <w:tcPr>
            <w:tcW w:w="3392" w:type="dxa"/>
            <w:tcBorders>
              <w:top w:val="single" w:color="auto" w:sz="4" w:space="0"/>
              <w:left w:val="single" w:color="auto" w:sz="4" w:space="0"/>
              <w:bottom w:val="single" w:color="auto" w:sz="4" w:space="0"/>
              <w:right w:val="single" w:color="auto" w:sz="4" w:space="0"/>
            </w:tcBorders>
          </w:tcPr>
          <w:p w14:paraId="14FDE13A">
            <w:pPr>
              <w:widowControl w:val="0"/>
              <w:spacing w:line="240" w:lineRule="auto"/>
              <w:ind w:firstLine="0" w:firstLineChars="0"/>
              <w:rPr>
                <w:rFonts w:hAnsi="仿宋"/>
                <w:sz w:val="24"/>
                <w:szCs w:val="24"/>
                <w:lang w:val="en-GB"/>
              </w:rPr>
            </w:pPr>
            <w:r>
              <w:rPr>
                <w:rFonts w:hAnsi="仿宋"/>
                <w:sz w:val="24"/>
                <w:szCs w:val="24"/>
                <w:lang w:val="en-GB"/>
              </w:rPr>
              <w:t>原到期结算日</w:t>
            </w:r>
          </w:p>
        </w:tc>
        <w:tc>
          <w:tcPr>
            <w:tcW w:w="6877" w:type="dxa"/>
            <w:gridSpan w:val="4"/>
            <w:tcBorders>
              <w:top w:val="single" w:color="auto" w:sz="4" w:space="0"/>
              <w:left w:val="single" w:color="auto" w:sz="4" w:space="0"/>
              <w:bottom w:val="single" w:color="auto" w:sz="4" w:space="0"/>
              <w:right w:val="single" w:color="auto" w:sz="4" w:space="0"/>
            </w:tcBorders>
          </w:tcPr>
          <w:p w14:paraId="3093E3A8">
            <w:pPr>
              <w:widowControl w:val="0"/>
              <w:spacing w:line="240" w:lineRule="auto"/>
              <w:ind w:firstLine="0" w:firstLineChars="0"/>
              <w:rPr>
                <w:rFonts w:hAnsi="仿宋"/>
                <w:sz w:val="24"/>
                <w:szCs w:val="24"/>
                <w:lang w:val="en-GB"/>
              </w:rPr>
            </w:pPr>
          </w:p>
        </w:tc>
      </w:tr>
      <w:tr w14:paraId="45B26CC7">
        <w:trPr>
          <w:jc w:val="center"/>
        </w:trPr>
        <w:tc>
          <w:tcPr>
            <w:tcW w:w="3392" w:type="dxa"/>
            <w:tcBorders>
              <w:top w:val="single" w:color="auto" w:sz="4" w:space="0"/>
              <w:left w:val="single" w:color="auto" w:sz="4" w:space="0"/>
              <w:bottom w:val="single" w:color="auto" w:sz="4" w:space="0"/>
              <w:right w:val="single" w:color="auto" w:sz="4" w:space="0"/>
            </w:tcBorders>
          </w:tcPr>
          <w:p w14:paraId="3D553BFF">
            <w:pPr>
              <w:widowControl w:val="0"/>
              <w:spacing w:line="240" w:lineRule="auto"/>
              <w:ind w:firstLine="0" w:firstLineChars="0"/>
              <w:rPr>
                <w:rFonts w:hAnsi="仿宋"/>
                <w:sz w:val="24"/>
                <w:szCs w:val="24"/>
                <w:lang w:val="en-GB"/>
              </w:rPr>
            </w:pPr>
            <w:r>
              <w:rPr>
                <w:rFonts w:hint="eastAsia" w:hAnsi="仿宋"/>
                <w:sz w:val="24"/>
                <w:szCs w:val="24"/>
                <w:lang w:val="en-GB"/>
              </w:rPr>
              <w:t>逾期返售结算日</w:t>
            </w:r>
          </w:p>
        </w:tc>
        <w:tc>
          <w:tcPr>
            <w:tcW w:w="6877" w:type="dxa"/>
            <w:gridSpan w:val="4"/>
            <w:tcBorders>
              <w:top w:val="single" w:color="auto" w:sz="4" w:space="0"/>
              <w:left w:val="single" w:color="auto" w:sz="4" w:space="0"/>
              <w:bottom w:val="single" w:color="auto" w:sz="4" w:space="0"/>
              <w:right w:val="single" w:color="auto" w:sz="4" w:space="0"/>
            </w:tcBorders>
          </w:tcPr>
          <w:p w14:paraId="1C5924BC">
            <w:pPr>
              <w:widowControl w:val="0"/>
              <w:spacing w:line="240" w:lineRule="auto"/>
              <w:ind w:firstLine="0" w:firstLineChars="0"/>
              <w:rPr>
                <w:rFonts w:hAnsi="仿宋"/>
                <w:sz w:val="24"/>
                <w:szCs w:val="24"/>
                <w:lang w:val="en-GB"/>
              </w:rPr>
            </w:pPr>
          </w:p>
        </w:tc>
      </w:tr>
      <w:tr w14:paraId="3E86920E">
        <w:tblPrEx>
          <w:tblCellMar>
            <w:top w:w="0" w:type="dxa"/>
            <w:left w:w="108" w:type="dxa"/>
            <w:bottom w:w="0" w:type="dxa"/>
            <w:right w:w="108" w:type="dxa"/>
          </w:tblCellMar>
        </w:tblPrEx>
        <w:trPr>
          <w:jc w:val="center"/>
        </w:trPr>
        <w:tc>
          <w:tcPr>
            <w:tcW w:w="3392" w:type="dxa"/>
            <w:tcBorders>
              <w:top w:val="single" w:color="auto" w:sz="4" w:space="0"/>
              <w:left w:val="single" w:color="auto" w:sz="4" w:space="0"/>
              <w:bottom w:val="single" w:color="auto" w:sz="4" w:space="0"/>
              <w:right w:val="single" w:color="auto" w:sz="4" w:space="0"/>
            </w:tcBorders>
          </w:tcPr>
          <w:p w14:paraId="6BD06CBC">
            <w:pPr>
              <w:widowControl w:val="0"/>
              <w:spacing w:line="240" w:lineRule="auto"/>
              <w:ind w:firstLine="0" w:firstLineChars="0"/>
              <w:rPr>
                <w:rFonts w:hAnsi="仿宋"/>
                <w:sz w:val="24"/>
                <w:szCs w:val="24"/>
                <w:lang w:val="en-GB"/>
              </w:rPr>
            </w:pPr>
            <w:r>
              <w:rPr>
                <w:rFonts w:hint="eastAsia" w:hAnsi="仿宋"/>
                <w:sz w:val="24"/>
                <w:szCs w:val="24"/>
                <w:lang w:val="en-GB"/>
              </w:rPr>
              <w:t>逾期返售结算金额（元）</w:t>
            </w:r>
          </w:p>
        </w:tc>
        <w:tc>
          <w:tcPr>
            <w:tcW w:w="6877" w:type="dxa"/>
            <w:gridSpan w:val="4"/>
            <w:tcBorders>
              <w:top w:val="single" w:color="auto" w:sz="4" w:space="0"/>
              <w:left w:val="single" w:color="auto" w:sz="4" w:space="0"/>
              <w:bottom w:val="single" w:color="auto" w:sz="4" w:space="0"/>
              <w:right w:val="single" w:color="auto" w:sz="4" w:space="0"/>
            </w:tcBorders>
          </w:tcPr>
          <w:p w14:paraId="6D66F986">
            <w:pPr>
              <w:widowControl w:val="0"/>
              <w:spacing w:line="240" w:lineRule="auto"/>
              <w:ind w:firstLine="0" w:firstLineChars="0"/>
              <w:rPr>
                <w:rFonts w:hAnsi="仿宋"/>
                <w:sz w:val="24"/>
                <w:szCs w:val="24"/>
                <w:lang w:val="en-GB"/>
              </w:rPr>
            </w:pPr>
          </w:p>
        </w:tc>
      </w:tr>
      <w:tr w14:paraId="7FE62DCE">
        <w:tblPrEx>
          <w:tblCellMar>
            <w:top w:w="0" w:type="dxa"/>
            <w:left w:w="108" w:type="dxa"/>
            <w:bottom w:w="0" w:type="dxa"/>
            <w:right w:w="108" w:type="dxa"/>
          </w:tblCellMar>
        </w:tblPrEx>
        <w:trPr>
          <w:jc w:val="center"/>
        </w:trPr>
        <w:tc>
          <w:tcPr>
            <w:tcW w:w="3392" w:type="dxa"/>
            <w:tcBorders>
              <w:top w:val="single" w:color="auto" w:sz="4" w:space="0"/>
              <w:left w:val="single" w:color="auto" w:sz="4" w:space="0"/>
              <w:bottom w:val="single" w:color="auto" w:sz="4" w:space="0"/>
              <w:right w:val="single" w:color="auto" w:sz="4" w:space="0"/>
            </w:tcBorders>
          </w:tcPr>
          <w:p w14:paraId="26135693">
            <w:pPr>
              <w:widowControl w:val="0"/>
              <w:spacing w:line="240" w:lineRule="auto"/>
              <w:ind w:firstLine="0" w:firstLineChars="0"/>
              <w:rPr>
                <w:rFonts w:hAnsi="仿宋"/>
                <w:sz w:val="24"/>
                <w:szCs w:val="24"/>
                <w:lang w:val="en-GB"/>
              </w:rPr>
            </w:pPr>
            <w:r>
              <w:rPr>
                <w:rFonts w:hint="eastAsia" w:hAnsi="仿宋"/>
                <w:sz w:val="24"/>
                <w:szCs w:val="24"/>
                <w:lang w:val="en-GB"/>
              </w:rPr>
              <w:t>标的券债券代码</w:t>
            </w:r>
          </w:p>
        </w:tc>
        <w:tc>
          <w:tcPr>
            <w:tcW w:w="6877" w:type="dxa"/>
            <w:gridSpan w:val="4"/>
            <w:tcBorders>
              <w:top w:val="single" w:color="auto" w:sz="4" w:space="0"/>
              <w:left w:val="single" w:color="auto" w:sz="4" w:space="0"/>
              <w:bottom w:val="single" w:color="auto" w:sz="4" w:space="0"/>
              <w:right w:val="single" w:color="auto" w:sz="4" w:space="0"/>
            </w:tcBorders>
          </w:tcPr>
          <w:p w14:paraId="236D6ED4">
            <w:pPr>
              <w:widowControl w:val="0"/>
              <w:spacing w:line="240" w:lineRule="auto"/>
              <w:ind w:firstLine="0" w:firstLineChars="0"/>
              <w:rPr>
                <w:rFonts w:hAnsi="仿宋"/>
                <w:sz w:val="24"/>
                <w:szCs w:val="24"/>
                <w:lang w:val="en-GB"/>
              </w:rPr>
            </w:pPr>
          </w:p>
        </w:tc>
      </w:tr>
      <w:tr w14:paraId="5B28C88A">
        <w:tblPrEx>
          <w:tblCellMar>
            <w:top w:w="0" w:type="dxa"/>
            <w:left w:w="108" w:type="dxa"/>
            <w:bottom w:w="0" w:type="dxa"/>
            <w:right w:w="108" w:type="dxa"/>
          </w:tblCellMar>
        </w:tblPrEx>
        <w:trPr>
          <w:jc w:val="center"/>
        </w:trPr>
        <w:tc>
          <w:tcPr>
            <w:tcW w:w="3392" w:type="dxa"/>
            <w:tcBorders>
              <w:top w:val="single" w:color="auto" w:sz="4" w:space="0"/>
              <w:left w:val="single" w:color="auto" w:sz="4" w:space="0"/>
              <w:bottom w:val="single" w:color="auto" w:sz="4" w:space="0"/>
              <w:right w:val="single" w:color="auto" w:sz="4" w:space="0"/>
            </w:tcBorders>
          </w:tcPr>
          <w:p w14:paraId="0F557978">
            <w:pPr>
              <w:widowControl w:val="0"/>
              <w:spacing w:line="240" w:lineRule="auto"/>
              <w:ind w:firstLine="0" w:firstLineChars="0"/>
              <w:rPr>
                <w:rFonts w:hAnsi="仿宋"/>
                <w:sz w:val="24"/>
                <w:szCs w:val="24"/>
                <w:lang w:val="en-GB"/>
              </w:rPr>
            </w:pPr>
            <w:r>
              <w:rPr>
                <w:rFonts w:hint="eastAsia" w:hAnsi="仿宋"/>
                <w:sz w:val="24"/>
                <w:szCs w:val="24"/>
                <w:lang w:val="en-GB"/>
              </w:rPr>
              <w:t>标的券债券中文简称</w:t>
            </w:r>
          </w:p>
        </w:tc>
        <w:tc>
          <w:tcPr>
            <w:tcW w:w="6877" w:type="dxa"/>
            <w:gridSpan w:val="4"/>
            <w:tcBorders>
              <w:top w:val="single" w:color="auto" w:sz="4" w:space="0"/>
              <w:left w:val="single" w:color="auto" w:sz="4" w:space="0"/>
              <w:bottom w:val="single" w:color="auto" w:sz="4" w:space="0"/>
              <w:right w:val="single" w:color="auto" w:sz="4" w:space="0"/>
            </w:tcBorders>
          </w:tcPr>
          <w:p w14:paraId="0D2CC356">
            <w:pPr>
              <w:widowControl w:val="0"/>
              <w:spacing w:line="240" w:lineRule="auto"/>
              <w:ind w:firstLine="0" w:firstLineChars="0"/>
              <w:rPr>
                <w:rFonts w:hAnsi="仿宋"/>
                <w:sz w:val="24"/>
                <w:szCs w:val="24"/>
                <w:lang w:val="en-GB"/>
              </w:rPr>
            </w:pPr>
          </w:p>
        </w:tc>
      </w:tr>
      <w:tr w14:paraId="78AE0C48">
        <w:trPr>
          <w:jc w:val="center"/>
        </w:trPr>
        <w:tc>
          <w:tcPr>
            <w:tcW w:w="3392" w:type="dxa"/>
            <w:tcBorders>
              <w:top w:val="single" w:color="auto" w:sz="4" w:space="0"/>
              <w:left w:val="single" w:color="auto" w:sz="4" w:space="0"/>
              <w:bottom w:val="single" w:color="auto" w:sz="4" w:space="0"/>
              <w:right w:val="single" w:color="auto" w:sz="4" w:space="0"/>
            </w:tcBorders>
          </w:tcPr>
          <w:p w14:paraId="4F615445">
            <w:pPr>
              <w:widowControl w:val="0"/>
              <w:spacing w:line="240" w:lineRule="auto"/>
              <w:ind w:firstLine="0" w:firstLineChars="0"/>
              <w:rPr>
                <w:rFonts w:hAnsi="仿宋"/>
                <w:sz w:val="24"/>
                <w:szCs w:val="24"/>
                <w:lang w:val="en-GB"/>
              </w:rPr>
            </w:pPr>
            <w:r>
              <w:rPr>
                <w:rFonts w:hint="eastAsia" w:hAnsi="仿宋"/>
                <w:sz w:val="24"/>
                <w:szCs w:val="24"/>
                <w:lang w:val="en-GB"/>
              </w:rPr>
              <w:t>标的券过户面额（万元）</w:t>
            </w:r>
          </w:p>
        </w:tc>
        <w:tc>
          <w:tcPr>
            <w:tcW w:w="6877" w:type="dxa"/>
            <w:gridSpan w:val="4"/>
            <w:tcBorders>
              <w:top w:val="single" w:color="auto" w:sz="4" w:space="0"/>
              <w:left w:val="single" w:color="auto" w:sz="4" w:space="0"/>
              <w:bottom w:val="single" w:color="auto" w:sz="4" w:space="0"/>
              <w:right w:val="single" w:color="auto" w:sz="4" w:space="0"/>
            </w:tcBorders>
          </w:tcPr>
          <w:p w14:paraId="46640B36">
            <w:pPr>
              <w:widowControl w:val="0"/>
              <w:spacing w:line="240" w:lineRule="auto"/>
              <w:ind w:firstLine="0" w:firstLineChars="0"/>
              <w:rPr>
                <w:rFonts w:hAnsi="仿宋"/>
                <w:sz w:val="24"/>
                <w:szCs w:val="24"/>
                <w:lang w:val="en-GB"/>
              </w:rPr>
            </w:pPr>
          </w:p>
        </w:tc>
      </w:tr>
      <w:tr w14:paraId="0985229C">
        <w:tblPrEx>
          <w:tblCellMar>
            <w:top w:w="0" w:type="dxa"/>
            <w:left w:w="108" w:type="dxa"/>
            <w:bottom w:w="0" w:type="dxa"/>
            <w:right w:w="108" w:type="dxa"/>
          </w:tblCellMar>
        </w:tblPrEx>
        <w:trPr>
          <w:trHeight w:val="435" w:hRule="atLeast"/>
          <w:jc w:val="center"/>
        </w:trPr>
        <w:tc>
          <w:tcPr>
            <w:tcW w:w="3392" w:type="dxa"/>
            <w:vMerge w:val="restart"/>
            <w:tcBorders>
              <w:top w:val="single" w:color="auto" w:sz="4" w:space="0"/>
              <w:left w:val="single" w:color="auto" w:sz="4" w:space="0"/>
              <w:right w:val="single" w:color="auto" w:sz="4" w:space="0"/>
            </w:tcBorders>
            <w:vAlign w:val="center"/>
          </w:tcPr>
          <w:p w14:paraId="03784270">
            <w:pPr>
              <w:widowControl w:val="0"/>
              <w:spacing w:line="240" w:lineRule="auto"/>
              <w:ind w:firstLine="0" w:firstLineChars="0"/>
              <w:rPr>
                <w:rFonts w:hAnsi="仿宋"/>
                <w:sz w:val="24"/>
                <w:szCs w:val="24"/>
                <w:lang w:val="en-GB"/>
              </w:rPr>
            </w:pPr>
            <w:r>
              <w:rPr>
                <w:rFonts w:hint="eastAsia" w:hAnsi="仿宋"/>
                <w:bCs/>
                <w:snapToGrid/>
                <w:kern w:val="2"/>
                <w:sz w:val="24"/>
                <w:szCs w:val="22"/>
              </w:rPr>
              <w:t>债券融入方质押券解押信息</w:t>
            </w:r>
            <w:r>
              <w:rPr>
                <w:rFonts w:hint="eastAsia" w:hAnsi="仿宋"/>
                <w:sz w:val="24"/>
                <w:szCs w:val="24"/>
                <w:lang w:val="en-GB"/>
              </w:rPr>
              <w:t>（栏位不够可自行添加）</w:t>
            </w:r>
          </w:p>
        </w:tc>
        <w:tc>
          <w:tcPr>
            <w:tcW w:w="1811" w:type="dxa"/>
            <w:gridSpan w:val="2"/>
            <w:tcBorders>
              <w:top w:val="single" w:color="auto" w:sz="4" w:space="0"/>
              <w:left w:val="single" w:color="auto" w:sz="4" w:space="0"/>
              <w:bottom w:val="single" w:color="auto" w:sz="4" w:space="0"/>
              <w:right w:val="single" w:color="auto" w:sz="4" w:space="0"/>
            </w:tcBorders>
            <w:vAlign w:val="center"/>
          </w:tcPr>
          <w:p w14:paraId="5FE9A1D4">
            <w:pPr>
              <w:widowControl w:val="0"/>
              <w:spacing w:line="360" w:lineRule="exact"/>
              <w:ind w:firstLine="0" w:firstLineChars="0"/>
              <w:jc w:val="center"/>
              <w:rPr>
                <w:rFonts w:hAnsi="仿宋"/>
                <w:bCs/>
                <w:snapToGrid/>
                <w:kern w:val="2"/>
                <w:sz w:val="24"/>
                <w:szCs w:val="22"/>
              </w:rPr>
            </w:pPr>
            <w:r>
              <w:rPr>
                <w:rFonts w:hAnsi="仿宋"/>
                <w:bCs/>
                <w:snapToGrid/>
                <w:kern w:val="2"/>
                <w:sz w:val="24"/>
                <w:szCs w:val="22"/>
              </w:rPr>
              <w:t>债券代码</w:t>
            </w:r>
          </w:p>
        </w:tc>
        <w:tc>
          <w:tcPr>
            <w:tcW w:w="2867" w:type="dxa"/>
            <w:tcBorders>
              <w:top w:val="single" w:color="auto" w:sz="4" w:space="0"/>
              <w:left w:val="single" w:color="auto" w:sz="4" w:space="0"/>
              <w:bottom w:val="single" w:color="auto" w:sz="4" w:space="0"/>
              <w:right w:val="single" w:color="auto" w:sz="4" w:space="0"/>
            </w:tcBorders>
            <w:vAlign w:val="center"/>
          </w:tcPr>
          <w:p w14:paraId="394C641D">
            <w:pPr>
              <w:widowControl w:val="0"/>
              <w:spacing w:line="360" w:lineRule="exact"/>
              <w:ind w:firstLine="0" w:firstLineChars="0"/>
              <w:jc w:val="center"/>
              <w:rPr>
                <w:rFonts w:hAnsi="仿宋"/>
                <w:bCs/>
                <w:snapToGrid/>
                <w:kern w:val="2"/>
                <w:sz w:val="24"/>
                <w:szCs w:val="22"/>
              </w:rPr>
            </w:pPr>
            <w:r>
              <w:rPr>
                <w:rFonts w:hAnsi="仿宋"/>
                <w:bCs/>
                <w:snapToGrid/>
                <w:kern w:val="2"/>
                <w:sz w:val="24"/>
                <w:szCs w:val="22"/>
              </w:rPr>
              <w:t>债券中文简称</w:t>
            </w:r>
          </w:p>
        </w:tc>
        <w:tc>
          <w:tcPr>
            <w:tcW w:w="2199" w:type="dxa"/>
            <w:tcBorders>
              <w:top w:val="single" w:color="auto" w:sz="4" w:space="0"/>
              <w:left w:val="single" w:color="auto" w:sz="4" w:space="0"/>
              <w:bottom w:val="single" w:color="auto" w:sz="4" w:space="0"/>
              <w:right w:val="single" w:color="auto" w:sz="4" w:space="0"/>
            </w:tcBorders>
            <w:vAlign w:val="center"/>
          </w:tcPr>
          <w:p w14:paraId="46B08FE6">
            <w:pPr>
              <w:widowControl w:val="0"/>
              <w:spacing w:line="360" w:lineRule="exact"/>
              <w:ind w:firstLine="0" w:firstLineChars="0"/>
              <w:jc w:val="center"/>
              <w:rPr>
                <w:rFonts w:hAnsi="仿宋"/>
                <w:bCs/>
                <w:snapToGrid/>
                <w:kern w:val="2"/>
                <w:sz w:val="24"/>
                <w:szCs w:val="22"/>
              </w:rPr>
            </w:pPr>
            <w:r>
              <w:rPr>
                <w:rFonts w:hAnsi="仿宋"/>
                <w:bCs/>
                <w:snapToGrid/>
                <w:kern w:val="2"/>
                <w:sz w:val="24"/>
                <w:szCs w:val="22"/>
              </w:rPr>
              <w:t>解押面额</w:t>
            </w:r>
            <w:r>
              <w:rPr>
                <w:rFonts w:hint="eastAsia" w:hAnsi="仿宋"/>
                <w:bCs/>
                <w:snapToGrid/>
                <w:kern w:val="2"/>
                <w:sz w:val="24"/>
                <w:szCs w:val="22"/>
              </w:rPr>
              <w:t>（万元）</w:t>
            </w:r>
          </w:p>
        </w:tc>
      </w:tr>
      <w:tr w14:paraId="0D0F40CE">
        <w:tblPrEx>
          <w:tblCellMar>
            <w:top w:w="0" w:type="dxa"/>
            <w:left w:w="108" w:type="dxa"/>
            <w:bottom w:w="0" w:type="dxa"/>
            <w:right w:w="108" w:type="dxa"/>
          </w:tblCellMar>
        </w:tblPrEx>
        <w:trPr>
          <w:trHeight w:val="435" w:hRule="atLeast"/>
          <w:jc w:val="center"/>
        </w:trPr>
        <w:tc>
          <w:tcPr>
            <w:tcW w:w="3392" w:type="dxa"/>
            <w:vMerge w:val="continue"/>
            <w:tcBorders>
              <w:left w:val="single" w:color="auto" w:sz="4" w:space="0"/>
              <w:right w:val="single" w:color="auto" w:sz="4" w:space="0"/>
            </w:tcBorders>
          </w:tcPr>
          <w:p w14:paraId="19F23C57">
            <w:pPr>
              <w:widowControl w:val="0"/>
              <w:spacing w:line="240" w:lineRule="auto"/>
              <w:ind w:firstLine="0" w:firstLineChars="0"/>
              <w:rPr>
                <w:rFonts w:hAnsi="仿宋"/>
                <w:sz w:val="24"/>
                <w:szCs w:val="24"/>
                <w:lang w:val="en-GB"/>
              </w:rPr>
            </w:pPr>
          </w:p>
        </w:tc>
        <w:tc>
          <w:tcPr>
            <w:tcW w:w="1811" w:type="dxa"/>
            <w:gridSpan w:val="2"/>
            <w:tcBorders>
              <w:top w:val="single" w:color="auto" w:sz="4" w:space="0"/>
              <w:left w:val="single" w:color="auto" w:sz="4" w:space="0"/>
              <w:bottom w:val="single" w:color="auto" w:sz="4" w:space="0"/>
              <w:right w:val="single" w:color="auto" w:sz="4" w:space="0"/>
            </w:tcBorders>
          </w:tcPr>
          <w:p w14:paraId="7403349E">
            <w:pPr>
              <w:widowControl w:val="0"/>
              <w:spacing w:line="240" w:lineRule="auto"/>
              <w:ind w:firstLine="0" w:firstLineChars="0"/>
              <w:rPr>
                <w:rFonts w:hAnsi="仿宋"/>
                <w:sz w:val="24"/>
                <w:szCs w:val="24"/>
                <w:lang w:val="en-GB"/>
              </w:rPr>
            </w:pPr>
          </w:p>
        </w:tc>
        <w:tc>
          <w:tcPr>
            <w:tcW w:w="2867" w:type="dxa"/>
            <w:tcBorders>
              <w:top w:val="single" w:color="auto" w:sz="4" w:space="0"/>
              <w:left w:val="single" w:color="auto" w:sz="4" w:space="0"/>
              <w:bottom w:val="single" w:color="auto" w:sz="4" w:space="0"/>
              <w:right w:val="single" w:color="auto" w:sz="4" w:space="0"/>
            </w:tcBorders>
          </w:tcPr>
          <w:p w14:paraId="44EEF24B">
            <w:pPr>
              <w:widowControl w:val="0"/>
              <w:spacing w:line="240" w:lineRule="auto"/>
              <w:ind w:firstLine="0" w:firstLineChars="0"/>
              <w:rPr>
                <w:rFonts w:hAnsi="仿宋"/>
                <w:sz w:val="24"/>
                <w:szCs w:val="24"/>
                <w:lang w:val="en-GB"/>
              </w:rPr>
            </w:pPr>
          </w:p>
        </w:tc>
        <w:tc>
          <w:tcPr>
            <w:tcW w:w="2199" w:type="dxa"/>
            <w:tcBorders>
              <w:top w:val="single" w:color="auto" w:sz="4" w:space="0"/>
              <w:left w:val="single" w:color="auto" w:sz="4" w:space="0"/>
              <w:bottom w:val="single" w:color="auto" w:sz="4" w:space="0"/>
              <w:right w:val="single" w:color="auto" w:sz="4" w:space="0"/>
            </w:tcBorders>
          </w:tcPr>
          <w:p w14:paraId="4B00634F">
            <w:pPr>
              <w:widowControl w:val="0"/>
              <w:spacing w:line="240" w:lineRule="auto"/>
              <w:ind w:firstLine="0" w:firstLineChars="0"/>
              <w:rPr>
                <w:rFonts w:hAnsi="仿宋"/>
                <w:sz w:val="24"/>
                <w:szCs w:val="24"/>
                <w:lang w:val="en-GB"/>
              </w:rPr>
            </w:pPr>
          </w:p>
        </w:tc>
      </w:tr>
      <w:tr w14:paraId="266CF3E7">
        <w:tblPrEx>
          <w:tblCellMar>
            <w:top w:w="0" w:type="dxa"/>
            <w:left w:w="108" w:type="dxa"/>
            <w:bottom w:w="0" w:type="dxa"/>
            <w:right w:w="108" w:type="dxa"/>
          </w:tblCellMar>
        </w:tblPrEx>
        <w:trPr>
          <w:trHeight w:val="435" w:hRule="atLeast"/>
          <w:jc w:val="center"/>
        </w:trPr>
        <w:tc>
          <w:tcPr>
            <w:tcW w:w="3392" w:type="dxa"/>
            <w:vMerge w:val="continue"/>
            <w:tcBorders>
              <w:left w:val="single" w:color="auto" w:sz="4" w:space="0"/>
              <w:right w:val="single" w:color="auto" w:sz="4" w:space="0"/>
            </w:tcBorders>
          </w:tcPr>
          <w:p w14:paraId="148D587B">
            <w:pPr>
              <w:widowControl w:val="0"/>
              <w:spacing w:line="240" w:lineRule="auto"/>
              <w:ind w:firstLine="0" w:firstLineChars="0"/>
              <w:rPr>
                <w:rFonts w:hAnsi="仿宋"/>
                <w:sz w:val="24"/>
                <w:szCs w:val="24"/>
                <w:lang w:val="en-GB"/>
              </w:rPr>
            </w:pPr>
          </w:p>
        </w:tc>
        <w:tc>
          <w:tcPr>
            <w:tcW w:w="1811" w:type="dxa"/>
            <w:gridSpan w:val="2"/>
            <w:tcBorders>
              <w:top w:val="single" w:color="auto" w:sz="4" w:space="0"/>
              <w:left w:val="single" w:color="auto" w:sz="4" w:space="0"/>
              <w:bottom w:val="single" w:color="auto" w:sz="4" w:space="0"/>
              <w:right w:val="single" w:color="auto" w:sz="4" w:space="0"/>
            </w:tcBorders>
          </w:tcPr>
          <w:p w14:paraId="49B2B345">
            <w:pPr>
              <w:widowControl w:val="0"/>
              <w:spacing w:line="240" w:lineRule="auto"/>
              <w:ind w:firstLine="0" w:firstLineChars="0"/>
              <w:rPr>
                <w:rFonts w:hAnsi="仿宋"/>
                <w:sz w:val="24"/>
                <w:szCs w:val="24"/>
                <w:lang w:val="en-GB"/>
              </w:rPr>
            </w:pPr>
          </w:p>
        </w:tc>
        <w:tc>
          <w:tcPr>
            <w:tcW w:w="2867" w:type="dxa"/>
            <w:tcBorders>
              <w:top w:val="single" w:color="auto" w:sz="4" w:space="0"/>
              <w:left w:val="single" w:color="auto" w:sz="4" w:space="0"/>
              <w:bottom w:val="single" w:color="auto" w:sz="4" w:space="0"/>
              <w:right w:val="single" w:color="auto" w:sz="4" w:space="0"/>
            </w:tcBorders>
          </w:tcPr>
          <w:p w14:paraId="10D46AB6">
            <w:pPr>
              <w:widowControl w:val="0"/>
              <w:spacing w:line="240" w:lineRule="auto"/>
              <w:ind w:firstLine="0" w:firstLineChars="0"/>
              <w:rPr>
                <w:rFonts w:hAnsi="仿宋"/>
                <w:sz w:val="24"/>
                <w:szCs w:val="24"/>
                <w:lang w:val="en-GB"/>
              </w:rPr>
            </w:pPr>
          </w:p>
        </w:tc>
        <w:tc>
          <w:tcPr>
            <w:tcW w:w="2199" w:type="dxa"/>
            <w:tcBorders>
              <w:top w:val="single" w:color="auto" w:sz="4" w:space="0"/>
              <w:left w:val="single" w:color="auto" w:sz="4" w:space="0"/>
              <w:bottom w:val="single" w:color="auto" w:sz="4" w:space="0"/>
              <w:right w:val="single" w:color="auto" w:sz="4" w:space="0"/>
            </w:tcBorders>
          </w:tcPr>
          <w:p w14:paraId="1D29101C">
            <w:pPr>
              <w:widowControl w:val="0"/>
              <w:spacing w:line="240" w:lineRule="auto"/>
              <w:ind w:firstLine="0" w:firstLineChars="0"/>
              <w:rPr>
                <w:rFonts w:hAnsi="仿宋"/>
                <w:sz w:val="24"/>
                <w:szCs w:val="24"/>
                <w:lang w:val="en-GB"/>
              </w:rPr>
            </w:pPr>
          </w:p>
        </w:tc>
      </w:tr>
      <w:tr w14:paraId="22E5CD9A">
        <w:tblPrEx>
          <w:tblCellMar>
            <w:top w:w="0" w:type="dxa"/>
            <w:left w:w="108" w:type="dxa"/>
            <w:bottom w:w="0" w:type="dxa"/>
            <w:right w:w="108" w:type="dxa"/>
          </w:tblCellMar>
        </w:tblPrEx>
        <w:trPr>
          <w:trHeight w:val="435" w:hRule="atLeast"/>
          <w:jc w:val="center"/>
        </w:trPr>
        <w:tc>
          <w:tcPr>
            <w:tcW w:w="3392" w:type="dxa"/>
            <w:vMerge w:val="continue"/>
            <w:tcBorders>
              <w:left w:val="single" w:color="auto" w:sz="4" w:space="0"/>
              <w:right w:val="single" w:color="auto" w:sz="4" w:space="0"/>
            </w:tcBorders>
          </w:tcPr>
          <w:p w14:paraId="392177BA">
            <w:pPr>
              <w:widowControl w:val="0"/>
              <w:spacing w:line="240" w:lineRule="auto"/>
              <w:ind w:firstLine="0" w:firstLineChars="0"/>
              <w:rPr>
                <w:rFonts w:hAnsi="仿宋"/>
                <w:sz w:val="24"/>
                <w:szCs w:val="24"/>
                <w:lang w:val="en-GB"/>
              </w:rPr>
            </w:pPr>
          </w:p>
        </w:tc>
        <w:tc>
          <w:tcPr>
            <w:tcW w:w="1811" w:type="dxa"/>
            <w:gridSpan w:val="2"/>
            <w:tcBorders>
              <w:top w:val="single" w:color="auto" w:sz="4" w:space="0"/>
              <w:left w:val="single" w:color="auto" w:sz="4" w:space="0"/>
              <w:bottom w:val="single" w:color="auto" w:sz="4" w:space="0"/>
              <w:right w:val="single" w:color="auto" w:sz="4" w:space="0"/>
            </w:tcBorders>
          </w:tcPr>
          <w:p w14:paraId="7FE5A0E8">
            <w:pPr>
              <w:widowControl w:val="0"/>
              <w:spacing w:line="240" w:lineRule="auto"/>
              <w:ind w:firstLine="0" w:firstLineChars="0"/>
              <w:rPr>
                <w:rFonts w:hAnsi="仿宋"/>
                <w:sz w:val="24"/>
                <w:szCs w:val="24"/>
                <w:lang w:val="en-GB"/>
              </w:rPr>
            </w:pPr>
          </w:p>
        </w:tc>
        <w:tc>
          <w:tcPr>
            <w:tcW w:w="2867" w:type="dxa"/>
            <w:tcBorders>
              <w:top w:val="single" w:color="auto" w:sz="4" w:space="0"/>
              <w:left w:val="single" w:color="auto" w:sz="4" w:space="0"/>
              <w:bottom w:val="single" w:color="auto" w:sz="4" w:space="0"/>
              <w:right w:val="single" w:color="auto" w:sz="4" w:space="0"/>
            </w:tcBorders>
          </w:tcPr>
          <w:p w14:paraId="134EA83E">
            <w:pPr>
              <w:widowControl w:val="0"/>
              <w:spacing w:line="240" w:lineRule="auto"/>
              <w:ind w:firstLine="0" w:firstLineChars="0"/>
              <w:rPr>
                <w:rFonts w:hAnsi="仿宋"/>
                <w:sz w:val="24"/>
                <w:szCs w:val="24"/>
                <w:lang w:val="en-GB"/>
              </w:rPr>
            </w:pPr>
          </w:p>
        </w:tc>
        <w:tc>
          <w:tcPr>
            <w:tcW w:w="2199" w:type="dxa"/>
            <w:tcBorders>
              <w:top w:val="single" w:color="auto" w:sz="4" w:space="0"/>
              <w:left w:val="single" w:color="auto" w:sz="4" w:space="0"/>
              <w:bottom w:val="single" w:color="auto" w:sz="4" w:space="0"/>
              <w:right w:val="single" w:color="auto" w:sz="4" w:space="0"/>
            </w:tcBorders>
          </w:tcPr>
          <w:p w14:paraId="6D7350C8">
            <w:pPr>
              <w:widowControl w:val="0"/>
              <w:spacing w:line="240" w:lineRule="auto"/>
              <w:ind w:firstLine="0" w:firstLineChars="0"/>
              <w:rPr>
                <w:rFonts w:hAnsi="仿宋"/>
                <w:sz w:val="24"/>
                <w:szCs w:val="24"/>
                <w:lang w:val="en-GB"/>
              </w:rPr>
            </w:pPr>
          </w:p>
        </w:tc>
      </w:tr>
      <w:tr w14:paraId="31B1BFF8">
        <w:tblPrEx>
          <w:tblCellMar>
            <w:top w:w="0" w:type="dxa"/>
            <w:left w:w="108" w:type="dxa"/>
            <w:bottom w:w="0" w:type="dxa"/>
            <w:right w:w="108" w:type="dxa"/>
          </w:tblCellMar>
        </w:tblPrEx>
        <w:trPr>
          <w:trHeight w:val="435" w:hRule="atLeast"/>
          <w:jc w:val="center"/>
        </w:trPr>
        <w:tc>
          <w:tcPr>
            <w:tcW w:w="3392" w:type="dxa"/>
            <w:vMerge w:val="continue"/>
            <w:tcBorders>
              <w:left w:val="single" w:color="auto" w:sz="4" w:space="0"/>
              <w:right w:val="single" w:color="auto" w:sz="4" w:space="0"/>
            </w:tcBorders>
          </w:tcPr>
          <w:p w14:paraId="01C0DCBB">
            <w:pPr>
              <w:widowControl w:val="0"/>
              <w:spacing w:line="240" w:lineRule="auto"/>
              <w:ind w:firstLine="0" w:firstLineChars="0"/>
              <w:rPr>
                <w:rFonts w:hAnsi="仿宋"/>
                <w:sz w:val="24"/>
                <w:szCs w:val="24"/>
                <w:lang w:val="en-GB"/>
              </w:rPr>
            </w:pPr>
          </w:p>
        </w:tc>
        <w:tc>
          <w:tcPr>
            <w:tcW w:w="1811" w:type="dxa"/>
            <w:gridSpan w:val="2"/>
            <w:tcBorders>
              <w:top w:val="single" w:color="auto" w:sz="4" w:space="0"/>
              <w:left w:val="single" w:color="auto" w:sz="4" w:space="0"/>
              <w:bottom w:val="single" w:color="auto" w:sz="4" w:space="0"/>
              <w:right w:val="single" w:color="auto" w:sz="4" w:space="0"/>
            </w:tcBorders>
          </w:tcPr>
          <w:p w14:paraId="3FF3283A">
            <w:pPr>
              <w:widowControl w:val="0"/>
              <w:spacing w:line="240" w:lineRule="auto"/>
              <w:ind w:firstLine="0" w:firstLineChars="0"/>
              <w:rPr>
                <w:rFonts w:hAnsi="仿宋"/>
                <w:sz w:val="24"/>
                <w:szCs w:val="24"/>
                <w:lang w:val="en-GB"/>
              </w:rPr>
            </w:pPr>
          </w:p>
        </w:tc>
        <w:tc>
          <w:tcPr>
            <w:tcW w:w="2867" w:type="dxa"/>
            <w:tcBorders>
              <w:top w:val="single" w:color="auto" w:sz="4" w:space="0"/>
              <w:left w:val="single" w:color="auto" w:sz="4" w:space="0"/>
              <w:bottom w:val="single" w:color="auto" w:sz="4" w:space="0"/>
              <w:right w:val="single" w:color="auto" w:sz="4" w:space="0"/>
            </w:tcBorders>
          </w:tcPr>
          <w:p w14:paraId="5F932185">
            <w:pPr>
              <w:widowControl w:val="0"/>
              <w:spacing w:line="240" w:lineRule="auto"/>
              <w:ind w:firstLine="0" w:firstLineChars="0"/>
              <w:rPr>
                <w:rFonts w:hAnsi="仿宋"/>
                <w:sz w:val="24"/>
                <w:szCs w:val="24"/>
                <w:lang w:val="en-GB"/>
              </w:rPr>
            </w:pPr>
          </w:p>
        </w:tc>
        <w:tc>
          <w:tcPr>
            <w:tcW w:w="2199" w:type="dxa"/>
            <w:tcBorders>
              <w:top w:val="single" w:color="auto" w:sz="4" w:space="0"/>
              <w:left w:val="single" w:color="auto" w:sz="4" w:space="0"/>
              <w:bottom w:val="single" w:color="auto" w:sz="4" w:space="0"/>
              <w:right w:val="single" w:color="auto" w:sz="4" w:space="0"/>
            </w:tcBorders>
          </w:tcPr>
          <w:p w14:paraId="194550CE">
            <w:pPr>
              <w:widowControl w:val="0"/>
              <w:spacing w:line="240" w:lineRule="auto"/>
              <w:ind w:firstLine="0" w:firstLineChars="0"/>
              <w:rPr>
                <w:rFonts w:hAnsi="仿宋"/>
                <w:sz w:val="24"/>
                <w:szCs w:val="24"/>
                <w:lang w:val="en-GB"/>
              </w:rPr>
            </w:pPr>
          </w:p>
        </w:tc>
      </w:tr>
      <w:tr w14:paraId="19FF31A8">
        <w:tblPrEx>
          <w:tblCellMar>
            <w:top w:w="0" w:type="dxa"/>
            <w:left w:w="108" w:type="dxa"/>
            <w:bottom w:w="0" w:type="dxa"/>
            <w:right w:w="108" w:type="dxa"/>
          </w:tblCellMar>
        </w:tblPrEx>
        <w:trPr>
          <w:jc w:val="center"/>
        </w:trPr>
        <w:tc>
          <w:tcPr>
            <w:tcW w:w="3392" w:type="dxa"/>
            <w:tcBorders>
              <w:top w:val="single" w:color="auto" w:sz="4" w:space="0"/>
              <w:left w:val="single" w:color="auto" w:sz="4" w:space="0"/>
              <w:bottom w:val="single" w:color="auto" w:sz="4" w:space="0"/>
              <w:right w:val="single" w:color="auto" w:sz="4" w:space="0"/>
            </w:tcBorders>
            <w:vAlign w:val="center"/>
          </w:tcPr>
          <w:p w14:paraId="543C667A">
            <w:pPr>
              <w:widowControl w:val="0"/>
              <w:spacing w:line="360" w:lineRule="exact"/>
              <w:ind w:firstLine="0" w:firstLineChars="0"/>
              <w:jc w:val="both"/>
              <w:rPr>
                <w:rFonts w:hAnsi="仿宋"/>
                <w:bCs/>
                <w:snapToGrid/>
                <w:kern w:val="2"/>
                <w:sz w:val="24"/>
                <w:szCs w:val="22"/>
              </w:rPr>
            </w:pPr>
            <w:r>
              <w:rPr>
                <w:rFonts w:hint="eastAsia" w:hAnsi="仿宋"/>
                <w:snapToGrid/>
                <w:kern w:val="2"/>
                <w:sz w:val="24"/>
                <w:szCs w:val="22"/>
              </w:rPr>
              <w:t>债券融入方办公电话</w:t>
            </w:r>
          </w:p>
        </w:tc>
        <w:tc>
          <w:tcPr>
            <w:tcW w:w="6877" w:type="dxa"/>
            <w:gridSpan w:val="4"/>
            <w:tcBorders>
              <w:top w:val="single" w:color="auto" w:sz="4" w:space="0"/>
              <w:left w:val="single" w:color="auto" w:sz="4" w:space="0"/>
              <w:bottom w:val="single" w:color="auto" w:sz="4" w:space="0"/>
              <w:right w:val="single" w:color="auto" w:sz="4" w:space="0"/>
            </w:tcBorders>
          </w:tcPr>
          <w:p w14:paraId="2BB345EB">
            <w:pPr>
              <w:widowControl w:val="0"/>
              <w:spacing w:line="240" w:lineRule="auto"/>
              <w:ind w:firstLine="0" w:firstLineChars="0"/>
              <w:jc w:val="center"/>
              <w:rPr>
                <w:rFonts w:hAnsi="仿宋"/>
                <w:sz w:val="24"/>
                <w:szCs w:val="24"/>
                <w:lang w:val="en-GB"/>
              </w:rPr>
            </w:pPr>
          </w:p>
        </w:tc>
      </w:tr>
      <w:tr w14:paraId="1DCE1B99">
        <w:tblPrEx>
          <w:tblCellMar>
            <w:top w:w="0" w:type="dxa"/>
            <w:left w:w="108" w:type="dxa"/>
            <w:bottom w:w="0" w:type="dxa"/>
            <w:right w:w="108" w:type="dxa"/>
          </w:tblCellMar>
        </w:tblPrEx>
        <w:trPr>
          <w:jc w:val="center"/>
        </w:trPr>
        <w:tc>
          <w:tcPr>
            <w:tcW w:w="3392" w:type="dxa"/>
            <w:tcBorders>
              <w:top w:val="single" w:color="auto" w:sz="4" w:space="0"/>
              <w:left w:val="single" w:color="auto" w:sz="4" w:space="0"/>
              <w:bottom w:val="single" w:color="auto" w:sz="4" w:space="0"/>
              <w:right w:val="single" w:color="auto" w:sz="4" w:space="0"/>
            </w:tcBorders>
            <w:vAlign w:val="center"/>
          </w:tcPr>
          <w:p w14:paraId="61C69619">
            <w:pPr>
              <w:widowControl w:val="0"/>
              <w:spacing w:line="360" w:lineRule="exact"/>
              <w:ind w:firstLine="0" w:firstLineChars="0"/>
              <w:jc w:val="both"/>
              <w:rPr>
                <w:rFonts w:hAnsi="仿宋"/>
                <w:bCs/>
                <w:snapToGrid/>
                <w:kern w:val="2"/>
                <w:sz w:val="24"/>
                <w:szCs w:val="22"/>
              </w:rPr>
            </w:pPr>
            <w:r>
              <w:rPr>
                <w:rFonts w:hint="eastAsia" w:hAnsi="仿宋"/>
                <w:snapToGrid/>
                <w:kern w:val="2"/>
                <w:sz w:val="24"/>
                <w:szCs w:val="22"/>
              </w:rPr>
              <w:t>债券融出方办公电话</w:t>
            </w:r>
          </w:p>
        </w:tc>
        <w:tc>
          <w:tcPr>
            <w:tcW w:w="6877" w:type="dxa"/>
            <w:gridSpan w:val="4"/>
            <w:tcBorders>
              <w:top w:val="single" w:color="auto" w:sz="4" w:space="0"/>
              <w:left w:val="single" w:color="auto" w:sz="4" w:space="0"/>
              <w:bottom w:val="single" w:color="auto" w:sz="4" w:space="0"/>
              <w:right w:val="single" w:color="auto" w:sz="4" w:space="0"/>
            </w:tcBorders>
          </w:tcPr>
          <w:p w14:paraId="01905DDE">
            <w:pPr>
              <w:widowControl w:val="0"/>
              <w:spacing w:line="240" w:lineRule="auto"/>
              <w:ind w:firstLine="0" w:firstLineChars="0"/>
              <w:jc w:val="center"/>
              <w:rPr>
                <w:rFonts w:hAnsi="仿宋"/>
                <w:sz w:val="24"/>
                <w:szCs w:val="24"/>
                <w:lang w:val="en-GB"/>
              </w:rPr>
            </w:pPr>
          </w:p>
        </w:tc>
      </w:tr>
      <w:tr w14:paraId="39DF8C21">
        <w:tblPrEx>
          <w:tblCellMar>
            <w:top w:w="0" w:type="dxa"/>
            <w:left w:w="108" w:type="dxa"/>
            <w:bottom w:w="0" w:type="dxa"/>
            <w:right w:w="108" w:type="dxa"/>
          </w:tblCellMar>
        </w:tblPrEx>
        <w:trPr>
          <w:jc w:val="center"/>
        </w:trPr>
        <w:tc>
          <w:tcPr>
            <w:tcW w:w="3392" w:type="dxa"/>
            <w:tcBorders>
              <w:top w:val="single" w:color="auto" w:sz="4" w:space="0"/>
              <w:left w:val="single" w:color="auto" w:sz="4" w:space="0"/>
              <w:bottom w:val="single" w:color="auto" w:sz="4" w:space="0"/>
              <w:right w:val="single" w:color="auto" w:sz="4" w:space="0"/>
            </w:tcBorders>
            <w:vAlign w:val="center"/>
          </w:tcPr>
          <w:p w14:paraId="7B127963">
            <w:pPr>
              <w:widowControl w:val="0"/>
              <w:spacing w:line="360" w:lineRule="exact"/>
              <w:ind w:firstLine="0" w:firstLineChars="0"/>
              <w:jc w:val="both"/>
              <w:rPr>
                <w:rFonts w:hAnsi="仿宋"/>
                <w:snapToGrid/>
                <w:kern w:val="2"/>
                <w:sz w:val="24"/>
                <w:szCs w:val="22"/>
              </w:rPr>
            </w:pPr>
            <w:r>
              <w:rPr>
                <w:rFonts w:hint="eastAsia" w:hAnsi="仿宋"/>
                <w:snapToGrid/>
                <w:kern w:val="2"/>
                <w:sz w:val="24"/>
                <w:szCs w:val="22"/>
              </w:rPr>
              <w:t>备注信息</w:t>
            </w:r>
          </w:p>
        </w:tc>
        <w:tc>
          <w:tcPr>
            <w:tcW w:w="6877" w:type="dxa"/>
            <w:gridSpan w:val="4"/>
            <w:tcBorders>
              <w:top w:val="single" w:color="auto" w:sz="4" w:space="0"/>
              <w:left w:val="single" w:color="auto" w:sz="4" w:space="0"/>
              <w:bottom w:val="single" w:color="auto" w:sz="4" w:space="0"/>
              <w:right w:val="single" w:color="auto" w:sz="4" w:space="0"/>
            </w:tcBorders>
          </w:tcPr>
          <w:p w14:paraId="6867DAB6">
            <w:pPr>
              <w:widowControl w:val="0"/>
              <w:spacing w:line="240" w:lineRule="auto"/>
              <w:ind w:firstLine="0" w:firstLineChars="0"/>
              <w:rPr>
                <w:rFonts w:hAnsi="仿宋"/>
                <w:sz w:val="24"/>
                <w:szCs w:val="24"/>
                <w:lang w:val="en-GB"/>
              </w:rPr>
            </w:pPr>
          </w:p>
          <w:p w14:paraId="16C03C17">
            <w:pPr>
              <w:widowControl w:val="0"/>
              <w:spacing w:line="240" w:lineRule="auto"/>
              <w:ind w:firstLine="0" w:firstLineChars="0"/>
              <w:rPr>
                <w:rFonts w:hAnsi="仿宋"/>
                <w:sz w:val="24"/>
                <w:szCs w:val="24"/>
                <w:lang w:val="en-GB"/>
              </w:rPr>
            </w:pPr>
          </w:p>
        </w:tc>
      </w:tr>
      <w:tr w14:paraId="4DEA7348">
        <w:tblPrEx>
          <w:tblCellMar>
            <w:top w:w="0" w:type="dxa"/>
            <w:left w:w="108" w:type="dxa"/>
            <w:bottom w:w="0" w:type="dxa"/>
            <w:right w:w="108" w:type="dxa"/>
          </w:tblCellMar>
        </w:tblPrEx>
        <w:trPr>
          <w:jc w:val="center"/>
        </w:trPr>
        <w:tc>
          <w:tcPr>
            <w:tcW w:w="10269" w:type="dxa"/>
            <w:gridSpan w:val="5"/>
            <w:tcBorders>
              <w:top w:val="single" w:color="auto" w:sz="4" w:space="0"/>
              <w:left w:val="single" w:color="auto" w:sz="4" w:space="0"/>
              <w:bottom w:val="single" w:color="auto" w:sz="4" w:space="0"/>
              <w:right w:val="single" w:color="auto" w:sz="4" w:space="0"/>
            </w:tcBorders>
          </w:tcPr>
          <w:p w14:paraId="6C367917">
            <w:pPr>
              <w:widowControl w:val="0"/>
              <w:spacing w:line="360" w:lineRule="exact"/>
              <w:ind w:firstLine="0" w:firstLineChars="0"/>
              <w:jc w:val="both"/>
              <w:rPr>
                <w:rFonts w:hAnsi="仿宋"/>
                <w:snapToGrid/>
                <w:kern w:val="2"/>
                <w:sz w:val="24"/>
                <w:szCs w:val="28"/>
                <w:lang w:val="en-GB"/>
              </w:rPr>
            </w:pPr>
            <w:r>
              <w:rPr>
                <w:rFonts w:hint="eastAsia" w:hAnsi="仿宋"/>
                <w:snapToGrid/>
                <w:kern w:val="2"/>
                <w:sz w:val="24"/>
                <w:szCs w:val="28"/>
                <w:lang w:val="en-GB"/>
              </w:rPr>
              <w:t>银行间市场清算所股份有限公司：</w:t>
            </w:r>
          </w:p>
          <w:p w14:paraId="582E7A0D">
            <w:pPr>
              <w:widowControl w:val="0"/>
              <w:spacing w:line="360" w:lineRule="exact"/>
              <w:ind w:firstLine="480"/>
              <w:jc w:val="both"/>
              <w:rPr>
                <w:rFonts w:hAnsi="仿宋"/>
                <w:snapToGrid/>
                <w:kern w:val="2"/>
                <w:sz w:val="24"/>
                <w:szCs w:val="28"/>
                <w:lang w:val="en-GB"/>
              </w:rPr>
            </w:pPr>
            <w:r>
              <w:rPr>
                <w:rFonts w:hint="eastAsia" w:hAnsi="仿宋"/>
                <w:snapToGrid/>
                <w:kern w:val="2"/>
                <w:sz w:val="24"/>
                <w:szCs w:val="28"/>
                <w:lang w:val="en-GB"/>
              </w:rPr>
              <w:t>经借贷双方协商一致，已在贵公司综合业务系统中提交上述逾期返售结算指令信息，相关逾期返售结算指令现已结算成功，请贵公司根据上述结算信息通知中央结算公司办理相关质押券的解押操作。</w:t>
            </w:r>
          </w:p>
        </w:tc>
      </w:tr>
      <w:tr w14:paraId="2F995F2C">
        <w:tblPrEx>
          <w:tblCellMar>
            <w:top w:w="0" w:type="dxa"/>
            <w:left w:w="108" w:type="dxa"/>
            <w:bottom w:w="0" w:type="dxa"/>
            <w:right w:w="108" w:type="dxa"/>
          </w:tblCellMar>
        </w:tblPrEx>
        <w:trPr>
          <w:jc w:val="center"/>
        </w:trPr>
        <w:tc>
          <w:tcPr>
            <w:tcW w:w="5134" w:type="dxa"/>
            <w:gridSpan w:val="2"/>
            <w:tcBorders>
              <w:top w:val="single" w:color="auto" w:sz="4" w:space="0"/>
              <w:left w:val="single" w:color="auto" w:sz="4" w:space="0"/>
              <w:right w:val="single" w:color="auto" w:sz="4" w:space="0"/>
            </w:tcBorders>
          </w:tcPr>
          <w:p w14:paraId="4FA2EFCC">
            <w:pPr>
              <w:widowControl w:val="0"/>
              <w:tabs>
                <w:tab w:val="left" w:pos="502"/>
                <w:tab w:val="center" w:pos="2459"/>
              </w:tabs>
              <w:spacing w:line="240" w:lineRule="auto"/>
              <w:ind w:firstLine="0" w:firstLineChars="0"/>
              <w:rPr>
                <w:rFonts w:hAnsi="仿宋"/>
                <w:b/>
                <w:sz w:val="24"/>
                <w:szCs w:val="24"/>
                <w:lang w:val="en-GB"/>
              </w:rPr>
            </w:pPr>
            <w:r>
              <w:rPr>
                <w:rFonts w:hAnsi="仿宋"/>
                <w:b/>
                <w:sz w:val="24"/>
                <w:szCs w:val="24"/>
                <w:lang w:val="en-GB"/>
              </w:rPr>
              <w:tab/>
            </w:r>
            <w:r>
              <w:rPr>
                <w:rFonts w:hAnsi="仿宋"/>
                <w:b/>
                <w:sz w:val="24"/>
                <w:szCs w:val="24"/>
                <w:lang w:val="en-GB"/>
              </w:rPr>
              <w:tab/>
            </w:r>
            <w:r>
              <w:rPr>
                <w:rFonts w:hint="eastAsia" w:hAnsi="仿宋"/>
                <w:b/>
                <w:sz w:val="24"/>
                <w:szCs w:val="24"/>
                <w:lang w:val="en-GB"/>
              </w:rPr>
              <w:t>债券融入方单位公章或预留印鉴</w:t>
            </w:r>
          </w:p>
        </w:tc>
        <w:tc>
          <w:tcPr>
            <w:tcW w:w="5135" w:type="dxa"/>
            <w:gridSpan w:val="3"/>
            <w:tcBorders>
              <w:top w:val="single" w:color="auto" w:sz="4" w:space="0"/>
              <w:left w:val="single" w:color="auto" w:sz="4" w:space="0"/>
              <w:right w:val="single" w:color="auto" w:sz="4" w:space="0"/>
            </w:tcBorders>
          </w:tcPr>
          <w:p w14:paraId="6ABEC664">
            <w:pPr>
              <w:widowControl w:val="0"/>
              <w:spacing w:line="240" w:lineRule="auto"/>
              <w:ind w:firstLine="0" w:firstLineChars="0"/>
              <w:jc w:val="center"/>
              <w:rPr>
                <w:rFonts w:hAnsi="仿宋"/>
                <w:b/>
                <w:sz w:val="24"/>
                <w:szCs w:val="24"/>
                <w:lang w:val="en-GB"/>
              </w:rPr>
            </w:pPr>
            <w:r>
              <w:rPr>
                <w:rFonts w:hint="eastAsia" w:hAnsi="仿宋"/>
                <w:b/>
                <w:sz w:val="24"/>
                <w:szCs w:val="24"/>
                <w:lang w:val="en-GB"/>
              </w:rPr>
              <w:t>债券融出方单位公章或预留印鉴</w:t>
            </w:r>
          </w:p>
        </w:tc>
      </w:tr>
      <w:tr w14:paraId="103365CC">
        <w:tblPrEx>
          <w:tblCellMar>
            <w:top w:w="0" w:type="dxa"/>
            <w:left w:w="108" w:type="dxa"/>
            <w:bottom w:w="0" w:type="dxa"/>
            <w:right w:w="108" w:type="dxa"/>
          </w:tblCellMar>
        </w:tblPrEx>
        <w:trPr>
          <w:jc w:val="center"/>
        </w:trPr>
        <w:tc>
          <w:tcPr>
            <w:tcW w:w="5134" w:type="dxa"/>
            <w:gridSpan w:val="2"/>
            <w:tcBorders>
              <w:left w:val="single" w:color="auto" w:sz="4" w:space="0"/>
              <w:bottom w:val="single" w:color="auto" w:sz="4" w:space="0"/>
              <w:right w:val="single" w:color="auto" w:sz="4" w:space="0"/>
            </w:tcBorders>
          </w:tcPr>
          <w:p w14:paraId="12466897">
            <w:pPr>
              <w:widowControl w:val="0"/>
              <w:spacing w:line="240" w:lineRule="auto"/>
              <w:ind w:firstLine="0" w:firstLineChars="0"/>
              <w:rPr>
                <w:rFonts w:hAnsi="仿宋"/>
                <w:sz w:val="24"/>
                <w:szCs w:val="24"/>
                <w:lang w:val="en-GB"/>
              </w:rPr>
            </w:pPr>
          </w:p>
          <w:p w14:paraId="41D295E2">
            <w:pPr>
              <w:widowControl w:val="0"/>
              <w:spacing w:line="240" w:lineRule="auto"/>
              <w:ind w:firstLine="0" w:firstLineChars="0"/>
              <w:rPr>
                <w:rFonts w:hAnsi="仿宋"/>
                <w:sz w:val="24"/>
                <w:szCs w:val="24"/>
                <w:lang w:val="en-GB"/>
              </w:rPr>
            </w:pPr>
          </w:p>
          <w:p w14:paraId="699E38FA">
            <w:pPr>
              <w:widowControl w:val="0"/>
              <w:spacing w:line="240" w:lineRule="auto"/>
              <w:ind w:firstLine="0" w:firstLineChars="0"/>
              <w:rPr>
                <w:rFonts w:hAnsi="仿宋"/>
                <w:sz w:val="24"/>
                <w:szCs w:val="24"/>
                <w:lang w:val="en-GB"/>
              </w:rPr>
            </w:pPr>
          </w:p>
          <w:p w14:paraId="0AF523FE">
            <w:pPr>
              <w:widowControl w:val="0"/>
              <w:spacing w:line="240" w:lineRule="auto"/>
              <w:ind w:firstLine="0" w:firstLineChars="0"/>
              <w:rPr>
                <w:rFonts w:hAnsi="仿宋"/>
                <w:sz w:val="24"/>
                <w:szCs w:val="24"/>
                <w:lang w:val="en-GB"/>
              </w:rPr>
            </w:pPr>
          </w:p>
          <w:p w14:paraId="0F9B0957">
            <w:pPr>
              <w:widowControl w:val="0"/>
              <w:spacing w:line="240" w:lineRule="auto"/>
              <w:ind w:firstLine="0" w:firstLineChars="0"/>
              <w:rPr>
                <w:rFonts w:hAnsi="仿宋"/>
                <w:sz w:val="24"/>
                <w:szCs w:val="24"/>
                <w:lang w:val="en-GB"/>
              </w:rPr>
            </w:pPr>
          </w:p>
          <w:p w14:paraId="4653AF30">
            <w:pPr>
              <w:widowControl w:val="0"/>
              <w:spacing w:line="240" w:lineRule="auto"/>
              <w:ind w:firstLine="0" w:firstLineChars="0"/>
              <w:rPr>
                <w:rFonts w:hAnsi="仿宋"/>
                <w:sz w:val="24"/>
                <w:szCs w:val="24"/>
                <w:lang w:val="en-GB"/>
              </w:rPr>
            </w:pPr>
          </w:p>
          <w:p w14:paraId="55FF0428">
            <w:pPr>
              <w:widowControl w:val="0"/>
              <w:spacing w:line="240" w:lineRule="auto"/>
              <w:ind w:firstLine="3120" w:firstLineChars="1300"/>
              <w:rPr>
                <w:rFonts w:hAnsi="仿宋"/>
                <w:sz w:val="24"/>
                <w:szCs w:val="24"/>
                <w:lang w:val="en-GB"/>
              </w:rPr>
            </w:pPr>
            <w:r>
              <w:rPr>
                <w:rFonts w:hAnsi="仿宋"/>
                <w:sz w:val="24"/>
                <w:szCs w:val="24"/>
                <w:lang w:val="en-GB"/>
              </w:rPr>
              <w:t>年</w:t>
            </w:r>
            <w:r>
              <w:rPr>
                <w:rFonts w:hint="eastAsia" w:hAnsi="仿宋"/>
                <w:sz w:val="24"/>
                <w:szCs w:val="24"/>
                <w:lang w:val="en-GB"/>
              </w:rPr>
              <w:t xml:space="preserve">    月    日</w:t>
            </w:r>
          </w:p>
        </w:tc>
        <w:tc>
          <w:tcPr>
            <w:tcW w:w="5135" w:type="dxa"/>
            <w:gridSpan w:val="3"/>
            <w:tcBorders>
              <w:left w:val="single" w:color="auto" w:sz="4" w:space="0"/>
              <w:bottom w:val="single" w:color="auto" w:sz="4" w:space="0"/>
              <w:right w:val="single" w:color="auto" w:sz="4" w:space="0"/>
            </w:tcBorders>
          </w:tcPr>
          <w:p w14:paraId="55701B27">
            <w:pPr>
              <w:widowControl w:val="0"/>
              <w:spacing w:line="240" w:lineRule="auto"/>
              <w:ind w:firstLine="0" w:firstLineChars="0"/>
              <w:rPr>
                <w:rFonts w:hAnsi="仿宋"/>
                <w:sz w:val="24"/>
                <w:szCs w:val="24"/>
                <w:lang w:val="en-GB"/>
              </w:rPr>
            </w:pPr>
          </w:p>
          <w:p w14:paraId="3F6203A5">
            <w:pPr>
              <w:widowControl w:val="0"/>
              <w:spacing w:line="240" w:lineRule="auto"/>
              <w:ind w:firstLine="0" w:firstLineChars="0"/>
              <w:rPr>
                <w:rFonts w:hAnsi="仿宋"/>
                <w:sz w:val="24"/>
                <w:szCs w:val="24"/>
                <w:lang w:val="en-GB"/>
              </w:rPr>
            </w:pPr>
          </w:p>
          <w:p w14:paraId="0F7A27E1">
            <w:pPr>
              <w:widowControl w:val="0"/>
              <w:spacing w:line="240" w:lineRule="auto"/>
              <w:ind w:firstLine="0" w:firstLineChars="0"/>
              <w:rPr>
                <w:rFonts w:hAnsi="仿宋"/>
                <w:sz w:val="24"/>
                <w:szCs w:val="24"/>
                <w:lang w:val="en-GB"/>
              </w:rPr>
            </w:pPr>
          </w:p>
          <w:p w14:paraId="601AA959">
            <w:pPr>
              <w:widowControl w:val="0"/>
              <w:spacing w:line="240" w:lineRule="auto"/>
              <w:ind w:firstLine="0" w:firstLineChars="0"/>
              <w:rPr>
                <w:rFonts w:hAnsi="仿宋"/>
                <w:sz w:val="24"/>
                <w:szCs w:val="24"/>
                <w:lang w:val="en-GB"/>
              </w:rPr>
            </w:pPr>
          </w:p>
          <w:p w14:paraId="69F3A605">
            <w:pPr>
              <w:widowControl w:val="0"/>
              <w:spacing w:line="240" w:lineRule="auto"/>
              <w:ind w:firstLine="0" w:firstLineChars="0"/>
              <w:rPr>
                <w:rFonts w:hAnsi="仿宋"/>
                <w:sz w:val="24"/>
                <w:szCs w:val="24"/>
                <w:lang w:val="en-GB"/>
              </w:rPr>
            </w:pPr>
          </w:p>
          <w:p w14:paraId="2C9765AB">
            <w:pPr>
              <w:widowControl w:val="0"/>
              <w:spacing w:line="240" w:lineRule="auto"/>
              <w:ind w:firstLine="0" w:firstLineChars="0"/>
              <w:rPr>
                <w:rFonts w:hAnsi="仿宋"/>
                <w:sz w:val="24"/>
                <w:szCs w:val="24"/>
                <w:lang w:val="en-GB"/>
              </w:rPr>
            </w:pPr>
          </w:p>
          <w:p w14:paraId="1DAD14F2">
            <w:pPr>
              <w:widowControl w:val="0"/>
              <w:spacing w:line="240" w:lineRule="auto"/>
              <w:ind w:firstLine="3120" w:firstLineChars="1300"/>
              <w:rPr>
                <w:rFonts w:hAnsi="仿宋"/>
                <w:sz w:val="24"/>
                <w:szCs w:val="24"/>
                <w:lang w:val="en-GB"/>
              </w:rPr>
            </w:pPr>
            <w:r>
              <w:rPr>
                <w:rFonts w:hAnsi="仿宋"/>
                <w:sz w:val="24"/>
                <w:szCs w:val="24"/>
                <w:lang w:val="en-GB"/>
              </w:rPr>
              <w:t>年</w:t>
            </w:r>
            <w:r>
              <w:rPr>
                <w:rFonts w:hint="eastAsia" w:hAnsi="仿宋"/>
                <w:sz w:val="24"/>
                <w:szCs w:val="24"/>
                <w:lang w:val="en-GB"/>
              </w:rPr>
              <w:t xml:space="preserve">    月    日</w:t>
            </w:r>
          </w:p>
        </w:tc>
      </w:tr>
    </w:tbl>
    <w:p w14:paraId="2AF59C80">
      <w:pPr>
        <w:widowControl w:val="0"/>
        <w:spacing w:line="240" w:lineRule="auto"/>
        <w:ind w:firstLine="0" w:firstLineChars="0"/>
        <w:rPr>
          <w:rFonts w:ascii="Calibri"/>
          <w:snapToGrid/>
          <w:kern w:val="2"/>
          <w:sz w:val="24"/>
          <w:szCs w:val="22"/>
        </w:rPr>
      </w:pPr>
      <w:r>
        <w:rPr>
          <w:rFonts w:hint="eastAsia" w:ascii="Calibri"/>
          <w:b/>
          <w:snapToGrid/>
          <w:kern w:val="2"/>
          <w:sz w:val="24"/>
          <w:szCs w:val="22"/>
        </w:rPr>
        <w:t>填表说明</w:t>
      </w:r>
      <w:r>
        <w:rPr>
          <w:rFonts w:hint="eastAsia" w:hAnsi="仿宋"/>
          <w:b/>
          <w:bCs/>
          <w:snapToGrid/>
          <w:kern w:val="2"/>
          <w:sz w:val="24"/>
          <w:szCs w:val="22"/>
        </w:rPr>
        <w:t>（该填表说明可无需打印</w:t>
      </w:r>
      <w:r>
        <w:rPr>
          <w:rFonts w:hAnsi="仿宋"/>
          <w:b/>
          <w:bCs/>
          <w:snapToGrid/>
          <w:kern w:val="2"/>
          <w:sz w:val="24"/>
          <w:szCs w:val="22"/>
        </w:rPr>
        <w:t>）</w:t>
      </w:r>
      <w:r>
        <w:rPr>
          <w:rFonts w:hint="eastAsia" w:ascii="Calibri"/>
          <w:b/>
          <w:snapToGrid/>
          <w:kern w:val="2"/>
          <w:sz w:val="24"/>
          <w:szCs w:val="22"/>
        </w:rPr>
        <w:t>：</w:t>
      </w:r>
      <w:r>
        <w:rPr>
          <w:rFonts w:ascii="Calibri"/>
          <w:snapToGrid/>
          <w:kern w:val="2"/>
          <w:sz w:val="24"/>
          <w:szCs w:val="22"/>
        </w:rPr>
        <w:t xml:space="preserve"> </w:t>
      </w:r>
    </w:p>
    <w:p w14:paraId="17B48CBD">
      <w:pPr>
        <w:widowControl w:val="0"/>
        <w:numPr>
          <w:ilvl w:val="255"/>
          <w:numId w:val="0"/>
        </w:numPr>
        <w:spacing w:line="240" w:lineRule="auto"/>
        <w:jc w:val="both"/>
        <w:rPr>
          <w:rFonts w:hAnsi="仿宋"/>
          <w:snapToGrid/>
          <w:kern w:val="2"/>
          <w:sz w:val="24"/>
          <w:szCs w:val="22"/>
        </w:rPr>
      </w:pPr>
      <w:r>
        <w:rPr>
          <w:rFonts w:hint="eastAsia" w:hAnsi="仿宋"/>
          <w:snapToGrid/>
          <w:kern w:val="2"/>
          <w:sz w:val="24"/>
          <w:szCs w:val="22"/>
        </w:rPr>
        <w:t>1.仅当上海清算所作为跨机构借贷标的券托管机构时，自跨机构借贷到期结算失败后次1工作日起，借贷双方可自行通过上海清算所综合业务系统客户端对已结算失败的到期结算指令发起逾期返售。</w:t>
      </w:r>
    </w:p>
    <w:p w14:paraId="75497603">
      <w:pPr>
        <w:widowControl w:val="0"/>
        <w:numPr>
          <w:ilvl w:val="255"/>
          <w:numId w:val="0"/>
        </w:numPr>
        <w:spacing w:line="240" w:lineRule="auto"/>
        <w:jc w:val="both"/>
        <w:rPr>
          <w:rFonts w:hAnsi="仿宋"/>
          <w:snapToGrid/>
          <w:kern w:val="2"/>
          <w:sz w:val="24"/>
          <w:szCs w:val="22"/>
        </w:rPr>
      </w:pPr>
      <w:r>
        <w:rPr>
          <w:rFonts w:hint="eastAsia" w:hAnsi="仿宋"/>
          <w:snapToGrid/>
          <w:kern w:val="2"/>
          <w:sz w:val="24"/>
          <w:szCs w:val="22"/>
        </w:rPr>
        <w:t>2.为确保质押券的顺利解押，跨机构借贷双方需在逾期返售指令结算成功当日中午12:00前通过电子邮件将《跨托管机构债券借贷到期逾期返售申请表》，以及相关逾期返售指令已成功结算的业务单据（即综合业务系统自动生成的《跨托管机构债券借贷到期结算完成通知单》）发送上海清算所运营部清算团队指定邮箱，即fund@shclearing.com.cn。上海清算所在到期逾期返售结算当日将借贷双方相关材料发送中央结算公司，办理质押券的后续处理。</w:t>
      </w:r>
    </w:p>
    <w:p w14:paraId="07B6B394">
      <w:pPr>
        <w:widowControl w:val="0"/>
        <w:spacing w:line="240" w:lineRule="auto"/>
        <w:ind w:firstLine="0" w:firstLineChars="0"/>
        <w:jc w:val="both"/>
        <w:rPr>
          <w:rFonts w:hAnsi="仿宋"/>
          <w:snapToGrid/>
          <w:kern w:val="2"/>
          <w:sz w:val="24"/>
          <w:szCs w:val="22"/>
        </w:rPr>
      </w:pPr>
    </w:p>
    <w:p w14:paraId="2DB2137E">
      <w:pPr>
        <w:widowControl w:val="0"/>
        <w:spacing w:line="240" w:lineRule="auto"/>
        <w:ind w:firstLine="0" w:firstLineChars="0"/>
        <w:jc w:val="both"/>
        <w:rPr>
          <w:rFonts w:hAnsi="仿宋"/>
          <w:b/>
          <w:snapToGrid/>
          <w:kern w:val="2"/>
          <w:sz w:val="24"/>
          <w:szCs w:val="22"/>
        </w:rPr>
      </w:pPr>
      <w:r>
        <w:rPr>
          <w:rFonts w:hint="eastAsia" w:hAnsi="仿宋"/>
          <w:b/>
          <w:snapToGrid/>
          <w:kern w:val="2"/>
          <w:sz w:val="24"/>
          <w:szCs w:val="22"/>
        </w:rPr>
        <w:t>客户服务中心联系电话（负责日常业务问题解答）：</w:t>
      </w:r>
      <w:r>
        <w:rPr>
          <w:rFonts w:hAnsi="仿宋"/>
          <w:snapToGrid/>
          <w:kern w:val="2"/>
          <w:sz w:val="24"/>
          <w:szCs w:val="22"/>
        </w:rPr>
        <w:t>400-820-0002</w:t>
      </w:r>
    </w:p>
    <w:p w14:paraId="40A7A99B">
      <w:pPr>
        <w:widowControl w:val="0"/>
        <w:spacing w:line="240" w:lineRule="auto"/>
        <w:ind w:firstLine="0" w:firstLineChars="0"/>
        <w:jc w:val="both"/>
        <w:rPr>
          <w:rFonts w:hAnsi="仿宋"/>
          <w:b/>
          <w:bCs/>
          <w:snapToGrid/>
          <w:kern w:val="2"/>
          <w:sz w:val="24"/>
          <w:szCs w:val="36"/>
        </w:rPr>
      </w:pPr>
      <w:r>
        <w:rPr>
          <w:rFonts w:hint="eastAsia" w:hAnsi="仿宋"/>
          <w:b/>
          <w:bCs/>
          <w:snapToGrid/>
          <w:kern w:val="2"/>
          <w:sz w:val="24"/>
          <w:szCs w:val="36"/>
        </w:rPr>
        <w:t>运营咨询联系方式（负责材料受理及系统操作）：</w:t>
      </w:r>
    </w:p>
    <w:p w14:paraId="118D81D1">
      <w:pPr>
        <w:widowControl w:val="0"/>
        <w:spacing w:line="240" w:lineRule="auto"/>
        <w:ind w:firstLine="0" w:firstLineChars="0"/>
        <w:jc w:val="both"/>
        <w:rPr>
          <w:rFonts w:hAnsi="仿宋"/>
          <w:snapToGrid/>
          <w:kern w:val="2"/>
          <w:sz w:val="24"/>
          <w:szCs w:val="22"/>
        </w:rPr>
      </w:pPr>
      <w:r>
        <w:rPr>
          <w:rFonts w:hAnsi="仿宋"/>
          <w:snapToGrid/>
          <w:kern w:val="2"/>
          <w:sz w:val="24"/>
          <w:szCs w:val="22"/>
        </w:rPr>
        <w:t>上海清算所运营部</w:t>
      </w:r>
      <w:r>
        <w:rPr>
          <w:rFonts w:hint="eastAsia" w:hAnsi="仿宋"/>
          <w:snapToGrid/>
          <w:kern w:val="2"/>
          <w:sz w:val="24"/>
          <w:szCs w:val="22"/>
        </w:rPr>
        <w:t>清算团队邮箱：fund@shclearing.com.cn</w:t>
      </w:r>
    </w:p>
    <w:p w14:paraId="3182AFE4">
      <w:pPr>
        <w:ind w:firstLine="0" w:firstLineChars="0"/>
      </w:pPr>
    </w:p>
    <w:p w14:paraId="371BEB2C">
      <w:pPr>
        <w:ind w:firstLine="0" w:firstLineChars="0"/>
      </w:pPr>
    </w:p>
    <w:p w14:paraId="63974C99">
      <w:pPr>
        <w:ind w:firstLine="0" w:firstLineChars="0"/>
      </w:pPr>
    </w:p>
    <w:p w14:paraId="0E08B528">
      <w:pPr>
        <w:pStyle w:val="32"/>
        <w:keepNext w:val="0"/>
        <w:keepLines w:val="0"/>
        <w:widowControl/>
        <w:topLinePunct/>
        <w:ind w:firstLine="0" w:firstLineChars="0"/>
        <w:rPr>
          <w:rFonts w:ascii="仿宋" w:hAnsi="仿宋" w:eastAsia="仿宋"/>
          <w:b w:val="0"/>
          <w:bCs w:val="0"/>
        </w:rPr>
      </w:pPr>
      <w:r>
        <w:br w:type="page"/>
      </w:r>
      <w:bookmarkStart w:id="105" w:name="_Toc1235661705"/>
      <w:bookmarkStart w:id="106" w:name="_Toc646533728"/>
      <w:bookmarkStart w:id="107" w:name="_Toc534581777"/>
      <w:bookmarkStart w:id="108" w:name="_Toc1716745847"/>
      <w:bookmarkStart w:id="109" w:name="_Toc1623756151"/>
      <w:bookmarkStart w:id="110" w:name="_Toc231143361"/>
      <w:bookmarkStart w:id="111" w:name="_Toc1545124727"/>
      <w:r>
        <w:rPr>
          <w:rFonts w:ascii="仿宋" w:hAnsi="仿宋" w:eastAsia="仿宋"/>
          <w:b w:val="0"/>
          <w:bCs w:val="0"/>
        </w:rPr>
        <w:t>附件4</w:t>
      </w:r>
      <w:bookmarkEnd w:id="105"/>
      <w:bookmarkEnd w:id="106"/>
      <w:bookmarkEnd w:id="107"/>
      <w:bookmarkEnd w:id="108"/>
      <w:bookmarkEnd w:id="109"/>
      <w:bookmarkEnd w:id="110"/>
      <w:bookmarkEnd w:id="111"/>
    </w:p>
    <w:p w14:paraId="1D1568FC">
      <w:pPr>
        <w:widowControl w:val="0"/>
        <w:ind w:firstLine="0" w:firstLineChars="0"/>
        <w:contextualSpacing/>
        <w:jc w:val="center"/>
        <w:rPr>
          <w:rFonts w:ascii="黑体" w:hAnsi="黑体" w:eastAsia="黑体"/>
          <w:sz w:val="36"/>
          <w:szCs w:val="36"/>
          <w:lang w:val="en-GB"/>
        </w:rPr>
      </w:pPr>
      <w:r>
        <w:rPr>
          <w:rFonts w:hint="eastAsia" w:ascii="黑体" w:hAnsi="黑体" w:eastAsia="黑体"/>
          <w:sz w:val="36"/>
          <w:szCs w:val="36"/>
          <w:lang w:val="en-GB"/>
        </w:rPr>
        <w:t>银行间市场清算所股份有限公司</w:t>
      </w:r>
    </w:p>
    <w:p w14:paraId="617BA7E5">
      <w:pPr>
        <w:ind w:firstLine="0" w:firstLineChars="0"/>
        <w:jc w:val="center"/>
        <w:rPr>
          <w:lang w:val="en-GB"/>
        </w:rPr>
      </w:pPr>
      <w:r>
        <w:rPr>
          <w:rFonts w:hint="eastAsia" w:ascii="黑体" w:hAnsi="黑体" w:eastAsia="黑体"/>
          <w:sz w:val="36"/>
          <w:szCs w:val="36"/>
          <w:lang w:val="en-GB"/>
        </w:rPr>
        <w:t>债券借贷到期逾期返售业务应急指令书</w:t>
      </w:r>
    </w:p>
    <w:tbl>
      <w:tblPr>
        <w:tblStyle w:val="18"/>
        <w:tblW w:w="10060" w:type="dxa"/>
        <w:jc w:val="center"/>
        <w:tblLayout w:type="autofit"/>
        <w:tblCellMar>
          <w:top w:w="0" w:type="dxa"/>
          <w:left w:w="108" w:type="dxa"/>
          <w:bottom w:w="0" w:type="dxa"/>
          <w:right w:w="108" w:type="dxa"/>
        </w:tblCellMar>
      </w:tblPr>
      <w:tblGrid>
        <w:gridCol w:w="3854"/>
        <w:gridCol w:w="1176"/>
        <w:gridCol w:w="525"/>
        <w:gridCol w:w="2247"/>
        <w:gridCol w:w="2258"/>
      </w:tblGrid>
      <w:tr w14:paraId="739FDDDA">
        <w:tblPrEx>
          <w:tblCellMar>
            <w:top w:w="0" w:type="dxa"/>
            <w:left w:w="108" w:type="dxa"/>
            <w:bottom w:w="0" w:type="dxa"/>
            <w:right w:w="108" w:type="dxa"/>
          </w:tblCellMar>
        </w:tblPrEx>
        <w:trPr>
          <w:jc w:val="center"/>
        </w:trPr>
        <w:tc>
          <w:tcPr>
            <w:tcW w:w="3854" w:type="dxa"/>
            <w:tcBorders>
              <w:top w:val="single" w:color="auto" w:sz="4" w:space="0"/>
              <w:left w:val="single" w:color="auto" w:sz="4" w:space="0"/>
              <w:right w:val="single" w:color="auto" w:sz="4" w:space="0"/>
            </w:tcBorders>
            <w:vAlign w:val="center"/>
          </w:tcPr>
          <w:p w14:paraId="287C6E78">
            <w:pPr>
              <w:widowControl w:val="0"/>
              <w:spacing w:line="240" w:lineRule="auto"/>
              <w:ind w:firstLine="0" w:firstLineChars="0"/>
              <w:rPr>
                <w:rFonts w:hAnsi="仿宋"/>
                <w:sz w:val="24"/>
                <w:szCs w:val="24"/>
                <w:lang w:val="en-GB"/>
              </w:rPr>
            </w:pPr>
            <w:bookmarkStart w:id="112" w:name="_Hlk69472646"/>
            <w:r>
              <w:rPr>
                <w:rFonts w:hint="eastAsia" w:hAnsi="仿宋"/>
                <w:sz w:val="24"/>
                <w:szCs w:val="24"/>
                <w:lang w:val="en-GB"/>
              </w:rPr>
              <w:t>业务应急类型</w:t>
            </w:r>
          </w:p>
        </w:tc>
        <w:tc>
          <w:tcPr>
            <w:tcW w:w="6206" w:type="dxa"/>
            <w:gridSpan w:val="4"/>
            <w:tcBorders>
              <w:top w:val="single" w:color="auto" w:sz="4" w:space="0"/>
              <w:left w:val="single" w:color="auto" w:sz="4" w:space="0"/>
              <w:bottom w:val="single" w:color="auto" w:sz="4" w:space="0"/>
              <w:right w:val="single" w:color="auto" w:sz="4" w:space="0"/>
            </w:tcBorders>
          </w:tcPr>
          <w:p w14:paraId="4FBA9301">
            <w:pPr>
              <w:widowControl w:val="0"/>
              <w:spacing w:line="240" w:lineRule="auto"/>
              <w:ind w:firstLine="0" w:firstLineChars="0"/>
              <w:rPr>
                <w:rFonts w:hAnsi="仿宋"/>
                <w:sz w:val="24"/>
                <w:szCs w:val="24"/>
                <w:lang w:val="en-GB"/>
              </w:rPr>
            </w:pPr>
            <w:r>
              <w:rPr>
                <w:rFonts w:hint="eastAsia" w:hAnsi="仿宋"/>
                <w:sz w:val="24"/>
                <w:szCs w:val="24"/>
                <w:lang w:val="en-GB"/>
              </w:rPr>
              <w:t>□到期逾期返售指令发起操作应急</w:t>
            </w:r>
          </w:p>
          <w:p w14:paraId="7BBC877D">
            <w:pPr>
              <w:widowControl w:val="0"/>
              <w:spacing w:line="240" w:lineRule="auto"/>
              <w:ind w:firstLine="0" w:firstLineChars="0"/>
              <w:rPr>
                <w:rFonts w:hAnsi="仿宋"/>
                <w:sz w:val="24"/>
                <w:szCs w:val="24"/>
                <w:lang w:val="en-GB"/>
              </w:rPr>
            </w:pPr>
            <w:r>
              <w:rPr>
                <w:rFonts w:hint="eastAsia" w:hAnsi="仿宋"/>
                <w:sz w:val="24"/>
                <w:szCs w:val="24"/>
                <w:lang w:val="en-GB"/>
              </w:rPr>
              <w:t>□到期逾期返售指令确认操作应急</w:t>
            </w:r>
          </w:p>
        </w:tc>
      </w:tr>
      <w:tr w14:paraId="337B1EB1">
        <w:tblPrEx>
          <w:tblCellMar>
            <w:top w:w="0" w:type="dxa"/>
            <w:left w:w="108" w:type="dxa"/>
            <w:bottom w:w="0" w:type="dxa"/>
            <w:right w:w="108" w:type="dxa"/>
          </w:tblCellMar>
        </w:tblPrEx>
        <w:trPr>
          <w:jc w:val="center"/>
        </w:trPr>
        <w:tc>
          <w:tcPr>
            <w:tcW w:w="3854" w:type="dxa"/>
            <w:vMerge w:val="restart"/>
            <w:tcBorders>
              <w:top w:val="single" w:color="auto" w:sz="4" w:space="0"/>
              <w:left w:val="single" w:color="auto" w:sz="4" w:space="0"/>
              <w:right w:val="single" w:color="auto" w:sz="4" w:space="0"/>
            </w:tcBorders>
          </w:tcPr>
          <w:p w14:paraId="0DC131B6">
            <w:pPr>
              <w:widowControl w:val="0"/>
              <w:spacing w:line="240" w:lineRule="auto"/>
              <w:ind w:firstLine="0" w:firstLineChars="0"/>
              <w:rPr>
                <w:rFonts w:hAnsi="仿宋"/>
                <w:sz w:val="24"/>
                <w:szCs w:val="24"/>
                <w:lang w:val="en-GB"/>
              </w:rPr>
            </w:pPr>
            <w:r>
              <w:rPr>
                <w:rFonts w:hAnsi="仿宋"/>
                <w:sz w:val="24"/>
                <w:szCs w:val="24"/>
                <w:lang w:val="en-GB"/>
              </w:rPr>
              <w:t>应急指令发送方在上海清算所债券账户信息</w:t>
            </w:r>
          </w:p>
        </w:tc>
        <w:tc>
          <w:tcPr>
            <w:tcW w:w="1701" w:type="dxa"/>
            <w:gridSpan w:val="2"/>
            <w:tcBorders>
              <w:top w:val="single" w:color="auto" w:sz="4" w:space="0"/>
              <w:left w:val="single" w:color="auto" w:sz="4" w:space="0"/>
              <w:bottom w:val="single" w:color="auto" w:sz="4" w:space="0"/>
              <w:right w:val="single" w:color="auto" w:sz="4" w:space="0"/>
            </w:tcBorders>
          </w:tcPr>
          <w:p w14:paraId="27136532">
            <w:pPr>
              <w:widowControl w:val="0"/>
              <w:spacing w:line="240" w:lineRule="auto"/>
              <w:ind w:firstLine="0" w:firstLineChars="0"/>
              <w:rPr>
                <w:rFonts w:hAnsi="仿宋"/>
                <w:sz w:val="24"/>
                <w:szCs w:val="24"/>
                <w:lang w:val="en-GB"/>
              </w:rPr>
            </w:pPr>
            <w:r>
              <w:rPr>
                <w:rFonts w:hAnsi="仿宋"/>
                <w:sz w:val="24"/>
                <w:szCs w:val="24"/>
                <w:lang w:val="en-GB"/>
              </w:rPr>
              <w:t>账户账号</w:t>
            </w:r>
          </w:p>
        </w:tc>
        <w:tc>
          <w:tcPr>
            <w:tcW w:w="4505" w:type="dxa"/>
            <w:gridSpan w:val="2"/>
            <w:tcBorders>
              <w:top w:val="single" w:color="auto" w:sz="4" w:space="0"/>
              <w:left w:val="single" w:color="auto" w:sz="4" w:space="0"/>
              <w:bottom w:val="single" w:color="auto" w:sz="4" w:space="0"/>
              <w:right w:val="single" w:color="auto" w:sz="4" w:space="0"/>
            </w:tcBorders>
          </w:tcPr>
          <w:p w14:paraId="5C3C7DCD">
            <w:pPr>
              <w:widowControl w:val="0"/>
              <w:spacing w:line="240" w:lineRule="auto"/>
              <w:ind w:firstLine="0" w:firstLineChars="0"/>
              <w:rPr>
                <w:rFonts w:hAnsi="仿宋"/>
                <w:sz w:val="24"/>
                <w:szCs w:val="24"/>
                <w:lang w:val="en-GB"/>
              </w:rPr>
            </w:pPr>
          </w:p>
        </w:tc>
      </w:tr>
      <w:tr w14:paraId="481A98E6">
        <w:tblPrEx>
          <w:tblCellMar>
            <w:top w:w="0" w:type="dxa"/>
            <w:left w:w="108" w:type="dxa"/>
            <w:bottom w:w="0" w:type="dxa"/>
            <w:right w:w="108" w:type="dxa"/>
          </w:tblCellMar>
        </w:tblPrEx>
        <w:trPr>
          <w:jc w:val="center"/>
        </w:trPr>
        <w:tc>
          <w:tcPr>
            <w:tcW w:w="3854" w:type="dxa"/>
            <w:vMerge w:val="continue"/>
            <w:tcBorders>
              <w:left w:val="single" w:color="auto" w:sz="4" w:space="0"/>
              <w:bottom w:val="single" w:color="auto" w:sz="4" w:space="0"/>
              <w:right w:val="single" w:color="auto" w:sz="4" w:space="0"/>
            </w:tcBorders>
          </w:tcPr>
          <w:p w14:paraId="6DDAA450">
            <w:pPr>
              <w:widowControl w:val="0"/>
              <w:spacing w:line="240" w:lineRule="auto"/>
              <w:ind w:firstLine="0" w:firstLineChars="0"/>
              <w:rPr>
                <w:rFonts w:hAnsi="仿宋"/>
                <w:sz w:val="24"/>
                <w:szCs w:val="24"/>
                <w:lang w:val="en-GB"/>
              </w:rPr>
            </w:pPr>
          </w:p>
        </w:tc>
        <w:tc>
          <w:tcPr>
            <w:tcW w:w="1701" w:type="dxa"/>
            <w:gridSpan w:val="2"/>
            <w:tcBorders>
              <w:top w:val="single" w:color="auto" w:sz="4" w:space="0"/>
              <w:left w:val="single" w:color="auto" w:sz="4" w:space="0"/>
              <w:bottom w:val="single" w:color="auto" w:sz="4" w:space="0"/>
              <w:right w:val="single" w:color="auto" w:sz="4" w:space="0"/>
            </w:tcBorders>
          </w:tcPr>
          <w:p w14:paraId="4BCCE33D">
            <w:pPr>
              <w:widowControl w:val="0"/>
              <w:spacing w:line="240" w:lineRule="auto"/>
              <w:ind w:firstLine="0" w:firstLineChars="0"/>
              <w:rPr>
                <w:rFonts w:hAnsi="仿宋"/>
                <w:sz w:val="24"/>
                <w:szCs w:val="24"/>
                <w:lang w:val="en-GB"/>
              </w:rPr>
            </w:pPr>
            <w:r>
              <w:rPr>
                <w:rFonts w:hAnsi="仿宋"/>
                <w:sz w:val="24"/>
                <w:szCs w:val="24"/>
                <w:lang w:val="en-GB"/>
              </w:rPr>
              <w:t>账户中文全称</w:t>
            </w:r>
          </w:p>
        </w:tc>
        <w:tc>
          <w:tcPr>
            <w:tcW w:w="4505" w:type="dxa"/>
            <w:gridSpan w:val="2"/>
            <w:tcBorders>
              <w:top w:val="single" w:color="auto" w:sz="4" w:space="0"/>
              <w:left w:val="single" w:color="auto" w:sz="4" w:space="0"/>
              <w:bottom w:val="single" w:color="auto" w:sz="4" w:space="0"/>
              <w:right w:val="single" w:color="auto" w:sz="4" w:space="0"/>
            </w:tcBorders>
          </w:tcPr>
          <w:p w14:paraId="63DC7F11">
            <w:pPr>
              <w:widowControl w:val="0"/>
              <w:spacing w:line="240" w:lineRule="auto"/>
              <w:ind w:firstLine="0" w:firstLineChars="0"/>
              <w:rPr>
                <w:rFonts w:hAnsi="仿宋"/>
                <w:sz w:val="24"/>
                <w:szCs w:val="24"/>
                <w:lang w:val="en-GB"/>
              </w:rPr>
            </w:pPr>
          </w:p>
        </w:tc>
      </w:tr>
      <w:tr w14:paraId="02776AEF">
        <w:trPr>
          <w:jc w:val="center"/>
        </w:trPr>
        <w:tc>
          <w:tcPr>
            <w:tcW w:w="3854" w:type="dxa"/>
            <w:tcBorders>
              <w:left w:val="single" w:color="auto" w:sz="4" w:space="0"/>
              <w:bottom w:val="single" w:color="auto" w:sz="4" w:space="0"/>
              <w:right w:val="single" w:color="auto" w:sz="4" w:space="0"/>
            </w:tcBorders>
          </w:tcPr>
          <w:p w14:paraId="6E5FB5A9">
            <w:pPr>
              <w:widowControl w:val="0"/>
              <w:spacing w:line="240" w:lineRule="auto"/>
              <w:ind w:firstLine="0" w:firstLineChars="0"/>
              <w:rPr>
                <w:rFonts w:hAnsi="仿宋"/>
                <w:sz w:val="24"/>
                <w:szCs w:val="24"/>
                <w:lang w:val="en-GB"/>
              </w:rPr>
            </w:pPr>
            <w:r>
              <w:rPr>
                <w:rFonts w:hAnsi="仿宋"/>
                <w:sz w:val="24"/>
                <w:szCs w:val="24"/>
                <w:lang w:val="en-GB"/>
              </w:rPr>
              <w:t>标的券债券代码</w:t>
            </w:r>
          </w:p>
        </w:tc>
        <w:tc>
          <w:tcPr>
            <w:tcW w:w="6206" w:type="dxa"/>
            <w:gridSpan w:val="4"/>
            <w:tcBorders>
              <w:top w:val="single" w:color="auto" w:sz="4" w:space="0"/>
              <w:left w:val="single" w:color="auto" w:sz="4" w:space="0"/>
              <w:bottom w:val="single" w:color="auto" w:sz="4" w:space="0"/>
              <w:right w:val="single" w:color="auto" w:sz="4" w:space="0"/>
            </w:tcBorders>
          </w:tcPr>
          <w:p w14:paraId="4B9B9A2B">
            <w:pPr>
              <w:widowControl w:val="0"/>
              <w:spacing w:line="240" w:lineRule="auto"/>
              <w:ind w:firstLine="0" w:firstLineChars="0"/>
              <w:rPr>
                <w:rFonts w:hAnsi="仿宋"/>
                <w:sz w:val="24"/>
                <w:szCs w:val="24"/>
                <w:lang w:val="en-GB"/>
              </w:rPr>
            </w:pPr>
          </w:p>
        </w:tc>
      </w:tr>
      <w:tr w14:paraId="68E6E874">
        <w:tblPrEx>
          <w:tblCellMar>
            <w:top w:w="0" w:type="dxa"/>
            <w:left w:w="108" w:type="dxa"/>
            <w:bottom w:w="0" w:type="dxa"/>
            <w:right w:w="108" w:type="dxa"/>
          </w:tblCellMar>
        </w:tblPrEx>
        <w:trPr>
          <w:jc w:val="center"/>
        </w:trPr>
        <w:tc>
          <w:tcPr>
            <w:tcW w:w="3854" w:type="dxa"/>
            <w:tcBorders>
              <w:left w:val="single" w:color="auto" w:sz="4" w:space="0"/>
              <w:bottom w:val="single" w:color="auto" w:sz="4" w:space="0"/>
              <w:right w:val="single" w:color="auto" w:sz="4" w:space="0"/>
            </w:tcBorders>
          </w:tcPr>
          <w:p w14:paraId="4B37D05C">
            <w:pPr>
              <w:widowControl w:val="0"/>
              <w:spacing w:line="240" w:lineRule="auto"/>
              <w:ind w:firstLine="0" w:firstLineChars="0"/>
              <w:rPr>
                <w:rFonts w:hAnsi="仿宋"/>
                <w:sz w:val="24"/>
                <w:szCs w:val="24"/>
                <w:lang w:val="en-GB"/>
              </w:rPr>
            </w:pPr>
            <w:r>
              <w:rPr>
                <w:rFonts w:hAnsi="仿宋"/>
                <w:sz w:val="24"/>
                <w:szCs w:val="24"/>
                <w:lang w:val="en-GB"/>
              </w:rPr>
              <w:t>标的券债券中文简称</w:t>
            </w:r>
          </w:p>
        </w:tc>
        <w:tc>
          <w:tcPr>
            <w:tcW w:w="6206" w:type="dxa"/>
            <w:gridSpan w:val="4"/>
            <w:tcBorders>
              <w:top w:val="single" w:color="auto" w:sz="4" w:space="0"/>
              <w:left w:val="single" w:color="auto" w:sz="4" w:space="0"/>
              <w:bottom w:val="single" w:color="auto" w:sz="4" w:space="0"/>
              <w:right w:val="single" w:color="auto" w:sz="4" w:space="0"/>
            </w:tcBorders>
          </w:tcPr>
          <w:p w14:paraId="6D70CF84">
            <w:pPr>
              <w:widowControl w:val="0"/>
              <w:spacing w:line="240" w:lineRule="auto"/>
              <w:ind w:firstLine="0" w:firstLineChars="0"/>
              <w:rPr>
                <w:rFonts w:hAnsi="仿宋"/>
                <w:sz w:val="24"/>
                <w:szCs w:val="24"/>
                <w:lang w:val="en-GB"/>
              </w:rPr>
            </w:pPr>
          </w:p>
        </w:tc>
      </w:tr>
      <w:tr w14:paraId="5D19F829">
        <w:tblPrEx>
          <w:tblCellMar>
            <w:top w:w="0" w:type="dxa"/>
            <w:left w:w="108" w:type="dxa"/>
            <w:bottom w:w="0" w:type="dxa"/>
            <w:right w:w="108" w:type="dxa"/>
          </w:tblCellMar>
        </w:tblPrEx>
        <w:trPr>
          <w:jc w:val="center"/>
        </w:trPr>
        <w:tc>
          <w:tcPr>
            <w:tcW w:w="3854" w:type="dxa"/>
            <w:tcBorders>
              <w:left w:val="single" w:color="auto" w:sz="4" w:space="0"/>
              <w:bottom w:val="single" w:color="auto" w:sz="4" w:space="0"/>
              <w:right w:val="single" w:color="auto" w:sz="4" w:space="0"/>
            </w:tcBorders>
          </w:tcPr>
          <w:p w14:paraId="58E355CF">
            <w:pPr>
              <w:widowControl w:val="0"/>
              <w:spacing w:line="240" w:lineRule="auto"/>
              <w:ind w:firstLine="0" w:firstLineChars="0"/>
              <w:rPr>
                <w:rFonts w:hAnsi="仿宋"/>
                <w:sz w:val="24"/>
                <w:szCs w:val="24"/>
                <w:lang w:val="en-GB"/>
              </w:rPr>
            </w:pPr>
            <w:r>
              <w:rPr>
                <w:rFonts w:hAnsi="仿宋"/>
                <w:sz w:val="24"/>
                <w:szCs w:val="24"/>
                <w:lang w:val="en-GB"/>
              </w:rPr>
              <w:t>标的券过户面额</w:t>
            </w:r>
            <w:r>
              <w:rPr>
                <w:rFonts w:hint="eastAsia" w:hAnsi="仿宋"/>
                <w:sz w:val="24"/>
                <w:szCs w:val="24"/>
                <w:lang w:val="en-GB"/>
              </w:rPr>
              <w:t>（万元）</w:t>
            </w:r>
          </w:p>
        </w:tc>
        <w:tc>
          <w:tcPr>
            <w:tcW w:w="6206" w:type="dxa"/>
            <w:gridSpan w:val="4"/>
            <w:tcBorders>
              <w:top w:val="single" w:color="auto" w:sz="4" w:space="0"/>
              <w:left w:val="single" w:color="auto" w:sz="4" w:space="0"/>
              <w:bottom w:val="single" w:color="auto" w:sz="4" w:space="0"/>
              <w:right w:val="single" w:color="auto" w:sz="4" w:space="0"/>
            </w:tcBorders>
          </w:tcPr>
          <w:p w14:paraId="372B27B4">
            <w:pPr>
              <w:widowControl w:val="0"/>
              <w:spacing w:line="240" w:lineRule="auto"/>
              <w:ind w:firstLine="0" w:firstLineChars="0"/>
              <w:rPr>
                <w:rFonts w:hAnsi="仿宋"/>
                <w:sz w:val="24"/>
                <w:szCs w:val="24"/>
                <w:lang w:val="en-GB"/>
              </w:rPr>
            </w:pPr>
          </w:p>
        </w:tc>
      </w:tr>
      <w:tr w14:paraId="3FC1DD28">
        <w:tblPrEx>
          <w:tblCellMar>
            <w:top w:w="0" w:type="dxa"/>
            <w:left w:w="108" w:type="dxa"/>
            <w:bottom w:w="0" w:type="dxa"/>
            <w:right w:w="108" w:type="dxa"/>
          </w:tblCellMar>
        </w:tblPrEx>
        <w:trPr>
          <w:jc w:val="center"/>
        </w:trPr>
        <w:tc>
          <w:tcPr>
            <w:tcW w:w="10060" w:type="dxa"/>
            <w:gridSpan w:val="5"/>
            <w:tcBorders>
              <w:top w:val="single" w:color="auto" w:sz="4" w:space="0"/>
              <w:left w:val="single" w:color="auto" w:sz="4" w:space="0"/>
              <w:bottom w:val="single" w:color="auto" w:sz="4" w:space="0"/>
              <w:right w:val="single" w:color="auto" w:sz="4" w:space="0"/>
            </w:tcBorders>
          </w:tcPr>
          <w:p w14:paraId="1BBEF0B5">
            <w:pPr>
              <w:widowControl w:val="0"/>
              <w:tabs>
                <w:tab w:val="left" w:pos="3540"/>
              </w:tabs>
              <w:spacing w:line="240" w:lineRule="auto"/>
              <w:ind w:firstLine="0" w:firstLineChars="0"/>
              <w:jc w:val="center"/>
              <w:rPr>
                <w:rFonts w:hAnsi="仿宋"/>
                <w:b/>
                <w:bCs/>
                <w:sz w:val="24"/>
                <w:szCs w:val="24"/>
                <w:lang w:val="en-GB"/>
              </w:rPr>
            </w:pPr>
            <w:r>
              <w:rPr>
                <w:rFonts w:hint="eastAsia" w:hAnsi="仿宋"/>
                <w:b/>
                <w:bCs/>
                <w:sz w:val="24"/>
                <w:szCs w:val="24"/>
                <w:lang w:val="en-GB"/>
              </w:rPr>
              <w:t>到期逾期返售业务应急信息</w:t>
            </w:r>
          </w:p>
        </w:tc>
      </w:tr>
      <w:tr w14:paraId="7B9A0441">
        <w:trPr>
          <w:jc w:val="center"/>
        </w:trPr>
        <w:tc>
          <w:tcPr>
            <w:tcW w:w="10060" w:type="dxa"/>
            <w:gridSpan w:val="5"/>
            <w:tcBorders>
              <w:top w:val="single" w:color="auto" w:sz="4" w:space="0"/>
              <w:left w:val="single" w:color="auto" w:sz="4" w:space="0"/>
              <w:bottom w:val="single" w:color="auto" w:sz="4" w:space="0"/>
              <w:right w:val="single" w:color="auto" w:sz="4" w:space="0"/>
            </w:tcBorders>
          </w:tcPr>
          <w:p w14:paraId="016C7BAC">
            <w:pPr>
              <w:widowControl w:val="0"/>
              <w:spacing w:line="240" w:lineRule="auto"/>
              <w:ind w:firstLine="0" w:firstLineChars="0"/>
              <w:rPr>
                <w:rFonts w:hAnsi="仿宋"/>
                <w:sz w:val="24"/>
                <w:szCs w:val="24"/>
                <w:lang w:val="en-GB"/>
              </w:rPr>
            </w:pPr>
            <w:r>
              <w:rPr>
                <w:rFonts w:hint="eastAsia" w:hAnsi="仿宋"/>
                <w:sz w:val="24"/>
                <w:szCs w:val="24"/>
                <w:lang w:val="en-GB"/>
              </w:rPr>
              <w:t>应急指令提交方：现因网络、系统或其他原因，无法及时通过综合业务系统客户端完成到期逾期返售指令发起操作（已与结算对手方协商一致）或确认操作，请贵公司基于以下信息通过业务应急方式代理本机构完成相关操作。</w:t>
            </w:r>
          </w:p>
        </w:tc>
      </w:tr>
      <w:tr w14:paraId="1DE5BE09">
        <w:tblPrEx>
          <w:tblCellMar>
            <w:top w:w="0" w:type="dxa"/>
            <w:left w:w="108" w:type="dxa"/>
            <w:bottom w:w="0" w:type="dxa"/>
            <w:right w:w="108" w:type="dxa"/>
          </w:tblCellMar>
        </w:tblPrEx>
        <w:trPr>
          <w:jc w:val="center"/>
        </w:trPr>
        <w:tc>
          <w:tcPr>
            <w:tcW w:w="3854" w:type="dxa"/>
            <w:tcBorders>
              <w:top w:val="single" w:color="auto" w:sz="4" w:space="0"/>
              <w:left w:val="single" w:color="auto" w:sz="4" w:space="0"/>
              <w:bottom w:val="single" w:color="auto" w:sz="4" w:space="0"/>
              <w:right w:val="single" w:color="auto" w:sz="4" w:space="0"/>
            </w:tcBorders>
          </w:tcPr>
          <w:p w14:paraId="7DE105B8">
            <w:pPr>
              <w:widowControl w:val="0"/>
              <w:spacing w:line="240" w:lineRule="auto"/>
              <w:ind w:firstLine="0" w:firstLineChars="0"/>
              <w:rPr>
                <w:rFonts w:hAnsi="仿宋"/>
                <w:sz w:val="24"/>
                <w:szCs w:val="24"/>
                <w:lang w:val="en-GB"/>
              </w:rPr>
            </w:pPr>
            <w:r>
              <w:rPr>
                <w:rFonts w:hint="eastAsia" w:hAnsi="仿宋"/>
                <w:sz w:val="24"/>
                <w:szCs w:val="24"/>
                <w:lang w:val="en-GB"/>
              </w:rPr>
              <w:t>外汇交易中心成交编号</w:t>
            </w:r>
          </w:p>
        </w:tc>
        <w:tc>
          <w:tcPr>
            <w:tcW w:w="6206" w:type="dxa"/>
            <w:gridSpan w:val="4"/>
            <w:tcBorders>
              <w:top w:val="single" w:color="auto" w:sz="4" w:space="0"/>
              <w:left w:val="single" w:color="auto" w:sz="4" w:space="0"/>
              <w:bottom w:val="single" w:color="auto" w:sz="4" w:space="0"/>
              <w:right w:val="single" w:color="auto" w:sz="4" w:space="0"/>
            </w:tcBorders>
          </w:tcPr>
          <w:p w14:paraId="40EB3455">
            <w:pPr>
              <w:widowControl w:val="0"/>
              <w:spacing w:line="240" w:lineRule="auto"/>
              <w:ind w:firstLine="0" w:firstLineChars="0"/>
              <w:rPr>
                <w:rFonts w:hAnsi="仿宋"/>
                <w:sz w:val="24"/>
                <w:szCs w:val="24"/>
                <w:lang w:val="en-GB"/>
              </w:rPr>
            </w:pPr>
          </w:p>
        </w:tc>
      </w:tr>
      <w:tr w14:paraId="62AF6085">
        <w:tblPrEx>
          <w:tblCellMar>
            <w:top w:w="0" w:type="dxa"/>
            <w:left w:w="108" w:type="dxa"/>
            <w:bottom w:w="0" w:type="dxa"/>
            <w:right w:w="108" w:type="dxa"/>
          </w:tblCellMar>
        </w:tblPrEx>
        <w:trPr>
          <w:jc w:val="center"/>
        </w:trPr>
        <w:tc>
          <w:tcPr>
            <w:tcW w:w="3854" w:type="dxa"/>
            <w:tcBorders>
              <w:top w:val="single" w:color="auto" w:sz="4" w:space="0"/>
              <w:left w:val="single" w:color="auto" w:sz="4" w:space="0"/>
              <w:bottom w:val="single" w:color="auto" w:sz="4" w:space="0"/>
              <w:right w:val="single" w:color="auto" w:sz="4" w:space="0"/>
            </w:tcBorders>
          </w:tcPr>
          <w:p w14:paraId="5CD89A68">
            <w:pPr>
              <w:widowControl w:val="0"/>
              <w:spacing w:line="240" w:lineRule="auto"/>
              <w:ind w:firstLine="0" w:firstLineChars="0"/>
              <w:rPr>
                <w:rFonts w:hAnsi="仿宋"/>
                <w:sz w:val="24"/>
                <w:szCs w:val="24"/>
                <w:lang w:val="en-GB"/>
              </w:rPr>
            </w:pPr>
            <w:r>
              <w:rPr>
                <w:rFonts w:hAnsi="仿宋"/>
                <w:sz w:val="24"/>
                <w:szCs w:val="24"/>
                <w:lang w:val="en-GB"/>
              </w:rPr>
              <w:t>原到期结算日</w:t>
            </w:r>
          </w:p>
        </w:tc>
        <w:tc>
          <w:tcPr>
            <w:tcW w:w="6206" w:type="dxa"/>
            <w:gridSpan w:val="4"/>
            <w:tcBorders>
              <w:top w:val="single" w:color="auto" w:sz="4" w:space="0"/>
              <w:left w:val="single" w:color="auto" w:sz="4" w:space="0"/>
              <w:bottom w:val="single" w:color="auto" w:sz="4" w:space="0"/>
              <w:right w:val="single" w:color="auto" w:sz="4" w:space="0"/>
            </w:tcBorders>
          </w:tcPr>
          <w:p w14:paraId="0BE3EA35">
            <w:pPr>
              <w:widowControl w:val="0"/>
              <w:spacing w:line="240" w:lineRule="auto"/>
              <w:ind w:firstLine="0" w:firstLineChars="0"/>
              <w:rPr>
                <w:rFonts w:hAnsi="仿宋"/>
                <w:sz w:val="24"/>
                <w:szCs w:val="24"/>
                <w:lang w:val="en-GB"/>
              </w:rPr>
            </w:pPr>
          </w:p>
        </w:tc>
      </w:tr>
      <w:tr w14:paraId="35BFD768">
        <w:tblPrEx>
          <w:tblCellMar>
            <w:top w:w="0" w:type="dxa"/>
            <w:left w:w="108" w:type="dxa"/>
            <w:bottom w:w="0" w:type="dxa"/>
            <w:right w:w="108" w:type="dxa"/>
          </w:tblCellMar>
        </w:tblPrEx>
        <w:trPr>
          <w:jc w:val="center"/>
        </w:trPr>
        <w:tc>
          <w:tcPr>
            <w:tcW w:w="3854" w:type="dxa"/>
            <w:tcBorders>
              <w:top w:val="single" w:color="auto" w:sz="4" w:space="0"/>
              <w:left w:val="single" w:color="auto" w:sz="4" w:space="0"/>
              <w:bottom w:val="single" w:color="auto" w:sz="4" w:space="0"/>
              <w:right w:val="single" w:color="auto" w:sz="4" w:space="0"/>
            </w:tcBorders>
          </w:tcPr>
          <w:p w14:paraId="5623879E">
            <w:pPr>
              <w:widowControl w:val="0"/>
              <w:spacing w:line="240" w:lineRule="auto"/>
              <w:ind w:firstLine="0" w:firstLineChars="0"/>
              <w:rPr>
                <w:rFonts w:hAnsi="仿宋"/>
                <w:sz w:val="24"/>
                <w:szCs w:val="24"/>
                <w:lang w:val="en-GB"/>
              </w:rPr>
            </w:pPr>
            <w:r>
              <w:rPr>
                <w:rFonts w:hint="eastAsia" w:hAnsi="仿宋"/>
                <w:sz w:val="24"/>
                <w:szCs w:val="24"/>
                <w:lang w:val="en-GB"/>
              </w:rPr>
              <w:t>逾期返售结算日</w:t>
            </w:r>
          </w:p>
        </w:tc>
        <w:tc>
          <w:tcPr>
            <w:tcW w:w="6206" w:type="dxa"/>
            <w:gridSpan w:val="4"/>
            <w:tcBorders>
              <w:top w:val="single" w:color="auto" w:sz="4" w:space="0"/>
              <w:left w:val="single" w:color="auto" w:sz="4" w:space="0"/>
              <w:bottom w:val="single" w:color="auto" w:sz="4" w:space="0"/>
              <w:right w:val="single" w:color="auto" w:sz="4" w:space="0"/>
            </w:tcBorders>
          </w:tcPr>
          <w:p w14:paraId="0D429BB6">
            <w:pPr>
              <w:widowControl w:val="0"/>
              <w:spacing w:line="240" w:lineRule="auto"/>
              <w:ind w:firstLine="0" w:firstLineChars="0"/>
              <w:rPr>
                <w:rFonts w:hAnsi="仿宋"/>
                <w:sz w:val="24"/>
                <w:szCs w:val="24"/>
                <w:lang w:val="en-GB"/>
              </w:rPr>
            </w:pPr>
          </w:p>
        </w:tc>
      </w:tr>
      <w:tr w14:paraId="455C11BC">
        <w:trPr>
          <w:jc w:val="center"/>
        </w:trPr>
        <w:tc>
          <w:tcPr>
            <w:tcW w:w="3854" w:type="dxa"/>
            <w:tcBorders>
              <w:top w:val="single" w:color="auto" w:sz="4" w:space="0"/>
              <w:left w:val="single" w:color="auto" w:sz="4" w:space="0"/>
              <w:bottom w:val="single" w:color="auto" w:sz="4" w:space="0"/>
              <w:right w:val="single" w:color="auto" w:sz="4" w:space="0"/>
            </w:tcBorders>
          </w:tcPr>
          <w:p w14:paraId="72108AB6">
            <w:pPr>
              <w:widowControl w:val="0"/>
              <w:spacing w:line="240" w:lineRule="auto"/>
              <w:ind w:firstLine="0" w:firstLineChars="0"/>
              <w:rPr>
                <w:rFonts w:hAnsi="仿宋"/>
                <w:sz w:val="24"/>
                <w:szCs w:val="24"/>
                <w:lang w:val="en-GB"/>
              </w:rPr>
            </w:pPr>
            <w:r>
              <w:rPr>
                <w:rFonts w:hint="eastAsia" w:hAnsi="仿宋"/>
                <w:sz w:val="24"/>
                <w:szCs w:val="24"/>
                <w:lang w:val="en-GB"/>
              </w:rPr>
              <w:t>逾期返售结算金额（元）</w:t>
            </w:r>
          </w:p>
        </w:tc>
        <w:tc>
          <w:tcPr>
            <w:tcW w:w="6206" w:type="dxa"/>
            <w:gridSpan w:val="4"/>
            <w:tcBorders>
              <w:top w:val="single" w:color="auto" w:sz="4" w:space="0"/>
              <w:left w:val="single" w:color="auto" w:sz="4" w:space="0"/>
              <w:bottom w:val="single" w:color="auto" w:sz="4" w:space="0"/>
              <w:right w:val="single" w:color="auto" w:sz="4" w:space="0"/>
            </w:tcBorders>
          </w:tcPr>
          <w:p w14:paraId="2022A564">
            <w:pPr>
              <w:widowControl w:val="0"/>
              <w:spacing w:line="240" w:lineRule="auto"/>
              <w:ind w:firstLine="0" w:firstLineChars="0"/>
              <w:rPr>
                <w:rFonts w:hAnsi="仿宋"/>
                <w:sz w:val="24"/>
                <w:szCs w:val="24"/>
                <w:lang w:val="en-GB"/>
              </w:rPr>
            </w:pPr>
          </w:p>
        </w:tc>
      </w:tr>
      <w:tr w14:paraId="495E037D">
        <w:tblPrEx>
          <w:tblCellMar>
            <w:top w:w="0" w:type="dxa"/>
            <w:left w:w="108" w:type="dxa"/>
            <w:bottom w:w="0" w:type="dxa"/>
            <w:right w:w="108" w:type="dxa"/>
          </w:tblCellMar>
        </w:tblPrEx>
        <w:trPr>
          <w:jc w:val="center"/>
        </w:trPr>
        <w:tc>
          <w:tcPr>
            <w:tcW w:w="3854" w:type="dxa"/>
            <w:vMerge w:val="restart"/>
            <w:tcBorders>
              <w:top w:val="single" w:color="auto" w:sz="4" w:space="0"/>
              <w:left w:val="single" w:color="auto" w:sz="4" w:space="0"/>
              <w:right w:val="single" w:color="auto" w:sz="4" w:space="0"/>
            </w:tcBorders>
            <w:vAlign w:val="center"/>
          </w:tcPr>
          <w:p w14:paraId="28324A45">
            <w:pPr>
              <w:widowControl w:val="0"/>
              <w:tabs>
                <w:tab w:val="left" w:pos="450"/>
                <w:tab w:val="right" w:pos="3071"/>
              </w:tabs>
              <w:spacing w:line="240" w:lineRule="auto"/>
              <w:ind w:firstLine="0" w:firstLineChars="0"/>
              <w:jc w:val="both"/>
              <w:rPr>
                <w:rFonts w:hAnsi="仿宋"/>
                <w:bCs/>
                <w:sz w:val="24"/>
                <w:szCs w:val="24"/>
                <w:lang w:val="en-GB"/>
              </w:rPr>
            </w:pPr>
            <w:r>
              <w:rPr>
                <w:rFonts w:hint="eastAsia" w:hAnsi="仿宋"/>
                <w:bCs/>
                <w:sz w:val="24"/>
                <w:szCs w:val="24"/>
                <w:lang w:val="en-GB"/>
              </w:rPr>
              <w:t>债券融入方质押券解押信息（栏位不够可自行添加）</w:t>
            </w:r>
          </w:p>
        </w:tc>
        <w:tc>
          <w:tcPr>
            <w:tcW w:w="1701" w:type="dxa"/>
            <w:gridSpan w:val="2"/>
            <w:tcBorders>
              <w:top w:val="single" w:color="auto" w:sz="4" w:space="0"/>
              <w:left w:val="single" w:color="auto" w:sz="4" w:space="0"/>
              <w:bottom w:val="single" w:color="auto" w:sz="4" w:space="0"/>
              <w:right w:val="single" w:color="auto" w:sz="4" w:space="0"/>
            </w:tcBorders>
          </w:tcPr>
          <w:p w14:paraId="43345CE6">
            <w:pPr>
              <w:widowControl w:val="0"/>
              <w:spacing w:line="240" w:lineRule="auto"/>
              <w:ind w:firstLine="0" w:firstLineChars="0"/>
              <w:jc w:val="center"/>
              <w:rPr>
                <w:rFonts w:hAnsi="仿宋"/>
                <w:bCs/>
                <w:sz w:val="24"/>
                <w:szCs w:val="24"/>
                <w:lang w:val="en-GB"/>
              </w:rPr>
            </w:pPr>
            <w:r>
              <w:rPr>
                <w:rFonts w:hint="eastAsia" w:hAnsi="仿宋"/>
                <w:bCs/>
                <w:sz w:val="24"/>
                <w:szCs w:val="24"/>
                <w:lang w:val="en-GB"/>
              </w:rPr>
              <w:t>债券代码</w:t>
            </w:r>
          </w:p>
        </w:tc>
        <w:tc>
          <w:tcPr>
            <w:tcW w:w="2247" w:type="dxa"/>
            <w:tcBorders>
              <w:top w:val="single" w:color="auto" w:sz="4" w:space="0"/>
              <w:left w:val="single" w:color="auto" w:sz="4" w:space="0"/>
              <w:bottom w:val="single" w:color="auto" w:sz="4" w:space="0"/>
              <w:right w:val="single" w:color="auto" w:sz="4" w:space="0"/>
            </w:tcBorders>
          </w:tcPr>
          <w:p w14:paraId="2C0AFA8E">
            <w:pPr>
              <w:widowControl w:val="0"/>
              <w:spacing w:line="240" w:lineRule="auto"/>
              <w:ind w:firstLine="0" w:firstLineChars="0"/>
              <w:jc w:val="center"/>
              <w:rPr>
                <w:rFonts w:hAnsi="仿宋"/>
                <w:bCs/>
                <w:sz w:val="24"/>
                <w:szCs w:val="24"/>
                <w:lang w:val="en-GB"/>
              </w:rPr>
            </w:pPr>
            <w:r>
              <w:rPr>
                <w:rFonts w:hint="eastAsia" w:hAnsi="仿宋"/>
                <w:bCs/>
                <w:sz w:val="24"/>
                <w:szCs w:val="24"/>
                <w:lang w:val="en-GB"/>
              </w:rPr>
              <w:t>债券中文简称</w:t>
            </w:r>
          </w:p>
        </w:tc>
        <w:tc>
          <w:tcPr>
            <w:tcW w:w="2258" w:type="dxa"/>
            <w:tcBorders>
              <w:top w:val="single" w:color="auto" w:sz="4" w:space="0"/>
              <w:left w:val="single" w:color="auto" w:sz="4" w:space="0"/>
              <w:bottom w:val="single" w:color="auto" w:sz="4" w:space="0"/>
              <w:right w:val="single" w:color="auto" w:sz="4" w:space="0"/>
            </w:tcBorders>
          </w:tcPr>
          <w:p w14:paraId="22220EF0">
            <w:pPr>
              <w:widowControl w:val="0"/>
              <w:spacing w:line="240" w:lineRule="auto"/>
              <w:ind w:firstLine="0" w:firstLineChars="0"/>
              <w:jc w:val="center"/>
              <w:rPr>
                <w:rFonts w:hAnsi="仿宋"/>
                <w:bCs/>
                <w:sz w:val="24"/>
                <w:szCs w:val="24"/>
                <w:lang w:val="en-GB"/>
              </w:rPr>
            </w:pPr>
            <w:r>
              <w:rPr>
                <w:rFonts w:hint="eastAsia" w:hAnsi="仿宋"/>
                <w:bCs/>
                <w:sz w:val="24"/>
                <w:szCs w:val="24"/>
                <w:lang w:val="en-GB"/>
              </w:rPr>
              <w:t>解押面额（万元）</w:t>
            </w:r>
          </w:p>
        </w:tc>
      </w:tr>
      <w:tr w14:paraId="2478202C">
        <w:tblPrEx>
          <w:tblCellMar>
            <w:top w:w="0" w:type="dxa"/>
            <w:left w:w="108" w:type="dxa"/>
            <w:bottom w:w="0" w:type="dxa"/>
            <w:right w:w="108" w:type="dxa"/>
          </w:tblCellMar>
        </w:tblPrEx>
        <w:trPr>
          <w:jc w:val="center"/>
        </w:trPr>
        <w:tc>
          <w:tcPr>
            <w:tcW w:w="3854" w:type="dxa"/>
            <w:vMerge w:val="continue"/>
            <w:tcBorders>
              <w:left w:val="single" w:color="auto" w:sz="4" w:space="0"/>
              <w:right w:val="single" w:color="auto" w:sz="4" w:space="0"/>
            </w:tcBorders>
          </w:tcPr>
          <w:p w14:paraId="6D0C825A">
            <w:pPr>
              <w:widowControl w:val="0"/>
              <w:spacing w:line="240" w:lineRule="auto"/>
              <w:ind w:firstLine="0" w:firstLineChars="0"/>
              <w:rPr>
                <w:rFonts w:hAnsi="仿宋"/>
                <w:sz w:val="24"/>
                <w:szCs w:val="24"/>
                <w:lang w:val="en-GB"/>
              </w:rPr>
            </w:pPr>
          </w:p>
        </w:tc>
        <w:tc>
          <w:tcPr>
            <w:tcW w:w="1701" w:type="dxa"/>
            <w:gridSpan w:val="2"/>
            <w:tcBorders>
              <w:top w:val="single" w:color="auto" w:sz="4" w:space="0"/>
              <w:left w:val="single" w:color="auto" w:sz="4" w:space="0"/>
              <w:bottom w:val="single" w:color="auto" w:sz="4" w:space="0"/>
              <w:right w:val="single" w:color="auto" w:sz="4" w:space="0"/>
            </w:tcBorders>
          </w:tcPr>
          <w:p w14:paraId="74D4CC97">
            <w:pPr>
              <w:widowControl w:val="0"/>
              <w:spacing w:line="240" w:lineRule="auto"/>
              <w:ind w:firstLine="0" w:firstLineChars="0"/>
              <w:jc w:val="center"/>
              <w:rPr>
                <w:rFonts w:hAnsi="仿宋"/>
                <w:bCs/>
                <w:sz w:val="24"/>
                <w:szCs w:val="24"/>
                <w:lang w:val="en-GB"/>
              </w:rPr>
            </w:pPr>
          </w:p>
        </w:tc>
        <w:tc>
          <w:tcPr>
            <w:tcW w:w="2247" w:type="dxa"/>
            <w:tcBorders>
              <w:top w:val="single" w:color="auto" w:sz="4" w:space="0"/>
              <w:left w:val="single" w:color="auto" w:sz="4" w:space="0"/>
              <w:bottom w:val="single" w:color="auto" w:sz="4" w:space="0"/>
              <w:right w:val="single" w:color="auto" w:sz="4" w:space="0"/>
            </w:tcBorders>
          </w:tcPr>
          <w:p w14:paraId="63603453">
            <w:pPr>
              <w:widowControl w:val="0"/>
              <w:spacing w:line="240" w:lineRule="auto"/>
              <w:ind w:firstLine="0" w:firstLineChars="0"/>
              <w:jc w:val="center"/>
              <w:rPr>
                <w:rFonts w:hAnsi="仿宋"/>
                <w:bCs/>
                <w:sz w:val="24"/>
                <w:szCs w:val="24"/>
                <w:lang w:val="en-GB"/>
              </w:rPr>
            </w:pPr>
          </w:p>
        </w:tc>
        <w:tc>
          <w:tcPr>
            <w:tcW w:w="2258" w:type="dxa"/>
            <w:tcBorders>
              <w:top w:val="single" w:color="auto" w:sz="4" w:space="0"/>
              <w:left w:val="single" w:color="auto" w:sz="4" w:space="0"/>
              <w:bottom w:val="single" w:color="auto" w:sz="4" w:space="0"/>
              <w:right w:val="single" w:color="auto" w:sz="4" w:space="0"/>
            </w:tcBorders>
          </w:tcPr>
          <w:p w14:paraId="4F829572">
            <w:pPr>
              <w:widowControl w:val="0"/>
              <w:spacing w:line="240" w:lineRule="auto"/>
              <w:ind w:firstLine="0" w:firstLineChars="0"/>
              <w:jc w:val="center"/>
              <w:rPr>
                <w:rFonts w:hAnsi="仿宋"/>
                <w:bCs/>
                <w:sz w:val="24"/>
                <w:szCs w:val="24"/>
                <w:lang w:val="en-GB"/>
              </w:rPr>
            </w:pPr>
          </w:p>
        </w:tc>
      </w:tr>
      <w:tr w14:paraId="5086B45E">
        <w:tblPrEx>
          <w:tblCellMar>
            <w:top w:w="0" w:type="dxa"/>
            <w:left w:w="108" w:type="dxa"/>
            <w:bottom w:w="0" w:type="dxa"/>
            <w:right w:w="108" w:type="dxa"/>
          </w:tblCellMar>
        </w:tblPrEx>
        <w:trPr>
          <w:jc w:val="center"/>
        </w:trPr>
        <w:tc>
          <w:tcPr>
            <w:tcW w:w="3854" w:type="dxa"/>
            <w:vMerge w:val="continue"/>
            <w:tcBorders>
              <w:left w:val="single" w:color="auto" w:sz="4" w:space="0"/>
              <w:right w:val="single" w:color="auto" w:sz="4" w:space="0"/>
            </w:tcBorders>
          </w:tcPr>
          <w:p w14:paraId="2B6BB467">
            <w:pPr>
              <w:widowControl w:val="0"/>
              <w:spacing w:line="240" w:lineRule="auto"/>
              <w:ind w:firstLine="0" w:firstLineChars="0"/>
              <w:rPr>
                <w:rFonts w:hAnsi="仿宋"/>
                <w:sz w:val="24"/>
                <w:szCs w:val="24"/>
                <w:lang w:val="en-GB"/>
              </w:rPr>
            </w:pPr>
          </w:p>
        </w:tc>
        <w:tc>
          <w:tcPr>
            <w:tcW w:w="1701" w:type="dxa"/>
            <w:gridSpan w:val="2"/>
            <w:tcBorders>
              <w:top w:val="single" w:color="auto" w:sz="4" w:space="0"/>
              <w:left w:val="single" w:color="auto" w:sz="4" w:space="0"/>
              <w:bottom w:val="single" w:color="auto" w:sz="4" w:space="0"/>
              <w:right w:val="single" w:color="auto" w:sz="4" w:space="0"/>
            </w:tcBorders>
          </w:tcPr>
          <w:p w14:paraId="5B88DA2A">
            <w:pPr>
              <w:widowControl w:val="0"/>
              <w:spacing w:line="240" w:lineRule="auto"/>
              <w:ind w:firstLine="0" w:firstLineChars="0"/>
              <w:jc w:val="center"/>
              <w:rPr>
                <w:rFonts w:hAnsi="仿宋"/>
                <w:bCs/>
                <w:sz w:val="24"/>
                <w:szCs w:val="24"/>
                <w:lang w:val="en-GB"/>
              </w:rPr>
            </w:pPr>
          </w:p>
        </w:tc>
        <w:tc>
          <w:tcPr>
            <w:tcW w:w="2247" w:type="dxa"/>
            <w:tcBorders>
              <w:top w:val="single" w:color="auto" w:sz="4" w:space="0"/>
              <w:left w:val="single" w:color="auto" w:sz="4" w:space="0"/>
              <w:bottom w:val="single" w:color="auto" w:sz="4" w:space="0"/>
              <w:right w:val="single" w:color="auto" w:sz="4" w:space="0"/>
            </w:tcBorders>
          </w:tcPr>
          <w:p w14:paraId="5913B15D">
            <w:pPr>
              <w:widowControl w:val="0"/>
              <w:spacing w:line="240" w:lineRule="auto"/>
              <w:ind w:firstLine="0" w:firstLineChars="0"/>
              <w:jc w:val="center"/>
              <w:rPr>
                <w:rFonts w:hAnsi="仿宋"/>
                <w:bCs/>
                <w:sz w:val="24"/>
                <w:szCs w:val="24"/>
                <w:lang w:val="en-GB"/>
              </w:rPr>
            </w:pPr>
          </w:p>
        </w:tc>
        <w:tc>
          <w:tcPr>
            <w:tcW w:w="2258" w:type="dxa"/>
            <w:tcBorders>
              <w:top w:val="single" w:color="auto" w:sz="4" w:space="0"/>
              <w:left w:val="single" w:color="auto" w:sz="4" w:space="0"/>
              <w:bottom w:val="single" w:color="auto" w:sz="4" w:space="0"/>
              <w:right w:val="single" w:color="auto" w:sz="4" w:space="0"/>
            </w:tcBorders>
          </w:tcPr>
          <w:p w14:paraId="1EC80F02">
            <w:pPr>
              <w:widowControl w:val="0"/>
              <w:spacing w:line="240" w:lineRule="auto"/>
              <w:ind w:firstLine="0" w:firstLineChars="0"/>
              <w:jc w:val="center"/>
              <w:rPr>
                <w:rFonts w:hAnsi="仿宋"/>
                <w:bCs/>
                <w:sz w:val="24"/>
                <w:szCs w:val="24"/>
                <w:lang w:val="en-GB"/>
              </w:rPr>
            </w:pPr>
          </w:p>
        </w:tc>
      </w:tr>
      <w:tr w14:paraId="118A57B1">
        <w:trPr>
          <w:jc w:val="center"/>
        </w:trPr>
        <w:tc>
          <w:tcPr>
            <w:tcW w:w="3854" w:type="dxa"/>
            <w:vMerge w:val="continue"/>
            <w:tcBorders>
              <w:left w:val="single" w:color="auto" w:sz="4" w:space="0"/>
              <w:bottom w:val="single" w:color="auto" w:sz="4" w:space="0"/>
              <w:right w:val="single" w:color="auto" w:sz="4" w:space="0"/>
            </w:tcBorders>
          </w:tcPr>
          <w:p w14:paraId="1077A7F7">
            <w:pPr>
              <w:widowControl w:val="0"/>
              <w:spacing w:line="240" w:lineRule="auto"/>
              <w:ind w:firstLine="0" w:firstLineChars="0"/>
              <w:rPr>
                <w:rFonts w:hAnsi="仿宋"/>
                <w:sz w:val="24"/>
                <w:szCs w:val="24"/>
                <w:lang w:val="en-GB"/>
              </w:rPr>
            </w:pPr>
          </w:p>
        </w:tc>
        <w:tc>
          <w:tcPr>
            <w:tcW w:w="1701" w:type="dxa"/>
            <w:gridSpan w:val="2"/>
            <w:tcBorders>
              <w:top w:val="single" w:color="auto" w:sz="4" w:space="0"/>
              <w:left w:val="single" w:color="auto" w:sz="4" w:space="0"/>
              <w:bottom w:val="single" w:color="auto" w:sz="4" w:space="0"/>
              <w:right w:val="single" w:color="auto" w:sz="4" w:space="0"/>
            </w:tcBorders>
          </w:tcPr>
          <w:p w14:paraId="7220E498">
            <w:pPr>
              <w:widowControl w:val="0"/>
              <w:spacing w:line="240" w:lineRule="auto"/>
              <w:ind w:firstLine="0" w:firstLineChars="0"/>
              <w:jc w:val="center"/>
              <w:rPr>
                <w:rFonts w:hAnsi="仿宋"/>
                <w:bCs/>
                <w:sz w:val="24"/>
                <w:szCs w:val="24"/>
                <w:lang w:val="en-GB"/>
              </w:rPr>
            </w:pPr>
          </w:p>
        </w:tc>
        <w:tc>
          <w:tcPr>
            <w:tcW w:w="2247" w:type="dxa"/>
            <w:tcBorders>
              <w:top w:val="single" w:color="auto" w:sz="4" w:space="0"/>
              <w:left w:val="single" w:color="auto" w:sz="4" w:space="0"/>
              <w:bottom w:val="single" w:color="auto" w:sz="4" w:space="0"/>
              <w:right w:val="single" w:color="auto" w:sz="4" w:space="0"/>
            </w:tcBorders>
          </w:tcPr>
          <w:p w14:paraId="3B9B5F69">
            <w:pPr>
              <w:widowControl w:val="0"/>
              <w:spacing w:line="240" w:lineRule="auto"/>
              <w:ind w:firstLine="0" w:firstLineChars="0"/>
              <w:jc w:val="center"/>
              <w:rPr>
                <w:rFonts w:hAnsi="仿宋"/>
                <w:bCs/>
                <w:sz w:val="24"/>
                <w:szCs w:val="24"/>
                <w:lang w:val="en-GB"/>
              </w:rPr>
            </w:pPr>
          </w:p>
        </w:tc>
        <w:tc>
          <w:tcPr>
            <w:tcW w:w="2258" w:type="dxa"/>
            <w:tcBorders>
              <w:top w:val="single" w:color="auto" w:sz="4" w:space="0"/>
              <w:left w:val="single" w:color="auto" w:sz="4" w:space="0"/>
              <w:bottom w:val="single" w:color="auto" w:sz="4" w:space="0"/>
              <w:right w:val="single" w:color="auto" w:sz="4" w:space="0"/>
            </w:tcBorders>
          </w:tcPr>
          <w:p w14:paraId="2299C05E">
            <w:pPr>
              <w:widowControl w:val="0"/>
              <w:spacing w:line="240" w:lineRule="auto"/>
              <w:ind w:firstLine="0" w:firstLineChars="0"/>
              <w:jc w:val="center"/>
              <w:rPr>
                <w:rFonts w:hAnsi="仿宋"/>
                <w:bCs/>
                <w:sz w:val="24"/>
                <w:szCs w:val="24"/>
                <w:lang w:val="en-GB"/>
              </w:rPr>
            </w:pPr>
          </w:p>
        </w:tc>
      </w:tr>
      <w:tr w14:paraId="2839CDA6">
        <w:tblPrEx>
          <w:tblCellMar>
            <w:top w:w="0" w:type="dxa"/>
            <w:left w:w="108" w:type="dxa"/>
            <w:bottom w:w="0" w:type="dxa"/>
            <w:right w:w="108" w:type="dxa"/>
          </w:tblCellMar>
        </w:tblPrEx>
        <w:trPr>
          <w:jc w:val="center"/>
        </w:trPr>
        <w:tc>
          <w:tcPr>
            <w:tcW w:w="3854" w:type="dxa"/>
            <w:tcBorders>
              <w:top w:val="single" w:color="auto" w:sz="4" w:space="0"/>
              <w:left w:val="single" w:color="auto" w:sz="4" w:space="0"/>
              <w:bottom w:val="single" w:color="auto" w:sz="4" w:space="0"/>
              <w:right w:val="single" w:color="auto" w:sz="4" w:space="0"/>
            </w:tcBorders>
          </w:tcPr>
          <w:p w14:paraId="71EA9E32">
            <w:pPr>
              <w:widowControl w:val="0"/>
              <w:spacing w:line="240" w:lineRule="auto"/>
              <w:ind w:firstLine="0" w:firstLineChars="0"/>
              <w:rPr>
                <w:rFonts w:hAnsi="仿宋"/>
                <w:sz w:val="24"/>
                <w:szCs w:val="24"/>
                <w:lang w:val="en-GB"/>
              </w:rPr>
            </w:pPr>
            <w:r>
              <w:rPr>
                <w:rFonts w:hint="eastAsia" w:hAnsi="仿宋"/>
                <w:sz w:val="24"/>
                <w:szCs w:val="24"/>
                <w:lang w:val="en-GB"/>
              </w:rPr>
              <w:t>应急指令发送方办公电话</w:t>
            </w:r>
          </w:p>
        </w:tc>
        <w:tc>
          <w:tcPr>
            <w:tcW w:w="6206" w:type="dxa"/>
            <w:gridSpan w:val="4"/>
            <w:tcBorders>
              <w:top w:val="single" w:color="auto" w:sz="4" w:space="0"/>
              <w:left w:val="single" w:color="auto" w:sz="4" w:space="0"/>
              <w:bottom w:val="single" w:color="auto" w:sz="4" w:space="0"/>
              <w:right w:val="single" w:color="auto" w:sz="4" w:space="0"/>
            </w:tcBorders>
            <w:vAlign w:val="center"/>
          </w:tcPr>
          <w:p w14:paraId="6D48D6D2">
            <w:pPr>
              <w:widowControl w:val="0"/>
              <w:spacing w:line="240" w:lineRule="auto"/>
              <w:ind w:firstLine="0" w:firstLineChars="0"/>
              <w:jc w:val="both"/>
              <w:rPr>
                <w:rFonts w:hAnsi="仿宋"/>
                <w:sz w:val="24"/>
                <w:szCs w:val="24"/>
                <w:lang w:val="en-GB"/>
              </w:rPr>
            </w:pPr>
          </w:p>
        </w:tc>
      </w:tr>
      <w:tr w14:paraId="01292B8C">
        <w:tblPrEx>
          <w:tblCellMar>
            <w:top w:w="0" w:type="dxa"/>
            <w:left w:w="108" w:type="dxa"/>
            <w:bottom w:w="0" w:type="dxa"/>
            <w:right w:w="108" w:type="dxa"/>
          </w:tblCellMar>
        </w:tblPrEx>
        <w:trPr>
          <w:jc w:val="center"/>
        </w:trPr>
        <w:tc>
          <w:tcPr>
            <w:tcW w:w="3854" w:type="dxa"/>
            <w:tcBorders>
              <w:top w:val="single" w:color="auto" w:sz="4" w:space="0"/>
              <w:left w:val="single" w:color="auto" w:sz="4" w:space="0"/>
              <w:bottom w:val="single" w:color="auto" w:sz="4" w:space="0"/>
              <w:right w:val="single" w:color="auto" w:sz="4" w:space="0"/>
            </w:tcBorders>
          </w:tcPr>
          <w:p w14:paraId="2D00C040">
            <w:pPr>
              <w:widowControl w:val="0"/>
              <w:spacing w:line="240" w:lineRule="auto"/>
              <w:ind w:firstLine="0" w:firstLineChars="0"/>
              <w:rPr>
                <w:rFonts w:hAnsi="仿宋"/>
                <w:sz w:val="24"/>
                <w:szCs w:val="24"/>
                <w:lang w:val="en-GB"/>
              </w:rPr>
            </w:pPr>
            <w:r>
              <w:rPr>
                <w:rFonts w:hint="eastAsia" w:hAnsi="仿宋"/>
                <w:sz w:val="24"/>
                <w:szCs w:val="24"/>
                <w:lang w:val="en-GB"/>
              </w:rPr>
              <w:t>备注信息</w:t>
            </w:r>
          </w:p>
        </w:tc>
        <w:tc>
          <w:tcPr>
            <w:tcW w:w="6206" w:type="dxa"/>
            <w:gridSpan w:val="4"/>
            <w:tcBorders>
              <w:top w:val="single" w:color="auto" w:sz="4" w:space="0"/>
              <w:left w:val="single" w:color="auto" w:sz="4" w:space="0"/>
              <w:bottom w:val="single" w:color="auto" w:sz="4" w:space="0"/>
              <w:right w:val="single" w:color="auto" w:sz="4" w:space="0"/>
            </w:tcBorders>
            <w:vAlign w:val="center"/>
          </w:tcPr>
          <w:p w14:paraId="7E60E418">
            <w:pPr>
              <w:widowControl w:val="0"/>
              <w:spacing w:line="240" w:lineRule="auto"/>
              <w:ind w:firstLine="0" w:firstLineChars="0"/>
              <w:jc w:val="both"/>
              <w:rPr>
                <w:rFonts w:hAnsi="仿宋"/>
                <w:sz w:val="24"/>
                <w:szCs w:val="24"/>
                <w:lang w:val="en-GB"/>
              </w:rPr>
            </w:pPr>
          </w:p>
        </w:tc>
      </w:tr>
      <w:tr w14:paraId="69B30BF9">
        <w:tblPrEx>
          <w:tblCellMar>
            <w:top w:w="0" w:type="dxa"/>
            <w:left w:w="108" w:type="dxa"/>
            <w:bottom w:w="0" w:type="dxa"/>
            <w:right w:w="108" w:type="dxa"/>
          </w:tblCellMar>
        </w:tblPrEx>
        <w:trPr>
          <w:jc w:val="center"/>
        </w:trPr>
        <w:tc>
          <w:tcPr>
            <w:tcW w:w="5030" w:type="dxa"/>
            <w:gridSpan w:val="2"/>
            <w:tcBorders>
              <w:top w:val="single" w:color="auto" w:sz="4" w:space="0"/>
              <w:left w:val="single" w:color="auto" w:sz="4" w:space="0"/>
              <w:bottom w:val="single" w:color="auto" w:sz="4" w:space="0"/>
              <w:right w:val="single" w:color="auto" w:sz="4" w:space="0"/>
            </w:tcBorders>
          </w:tcPr>
          <w:p w14:paraId="6681DEE4">
            <w:pPr>
              <w:widowControl w:val="0"/>
              <w:spacing w:line="240" w:lineRule="auto"/>
              <w:ind w:firstLine="0" w:firstLineChars="0"/>
              <w:rPr>
                <w:rFonts w:hAnsi="仿宋"/>
                <w:b/>
                <w:sz w:val="24"/>
                <w:szCs w:val="24"/>
                <w:lang w:val="en-GB"/>
              </w:rPr>
            </w:pPr>
            <w:r>
              <w:rPr>
                <w:rFonts w:hint="eastAsia" w:hAnsi="仿宋"/>
                <w:b/>
                <w:sz w:val="24"/>
                <w:szCs w:val="24"/>
                <w:lang w:val="en-GB"/>
              </w:rPr>
              <w:tab/>
            </w:r>
            <w:r>
              <w:rPr>
                <w:rFonts w:hint="eastAsia" w:hAnsi="仿宋"/>
                <w:b/>
                <w:sz w:val="24"/>
                <w:szCs w:val="24"/>
                <w:lang w:val="en-GB"/>
              </w:rPr>
              <w:tab/>
            </w:r>
            <w:r>
              <w:rPr>
                <w:rFonts w:hint="eastAsia" w:hAnsi="仿宋"/>
                <w:b/>
                <w:sz w:val="24"/>
                <w:szCs w:val="24"/>
                <w:lang w:val="en-GB"/>
              </w:rPr>
              <w:t>债券融入方单位公章或预留印鉴</w:t>
            </w:r>
          </w:p>
          <w:p w14:paraId="31792DAC">
            <w:pPr>
              <w:widowControl w:val="0"/>
              <w:spacing w:line="240" w:lineRule="auto"/>
              <w:ind w:firstLine="0" w:firstLineChars="0"/>
              <w:rPr>
                <w:rFonts w:hAnsi="仿宋"/>
                <w:sz w:val="24"/>
                <w:szCs w:val="24"/>
                <w:lang w:val="en-GB"/>
              </w:rPr>
            </w:pPr>
          </w:p>
          <w:p w14:paraId="73165EF1">
            <w:pPr>
              <w:widowControl w:val="0"/>
              <w:spacing w:line="240" w:lineRule="auto"/>
              <w:ind w:firstLine="0" w:firstLineChars="0"/>
              <w:rPr>
                <w:rFonts w:hAnsi="仿宋"/>
                <w:sz w:val="24"/>
                <w:szCs w:val="24"/>
                <w:lang w:val="en-GB"/>
              </w:rPr>
            </w:pPr>
          </w:p>
          <w:p w14:paraId="1C4E61D0">
            <w:pPr>
              <w:widowControl w:val="0"/>
              <w:spacing w:line="240" w:lineRule="auto"/>
              <w:ind w:firstLine="0" w:firstLineChars="0"/>
              <w:rPr>
                <w:rFonts w:hAnsi="仿宋"/>
                <w:sz w:val="24"/>
                <w:szCs w:val="24"/>
                <w:lang w:val="en-GB"/>
              </w:rPr>
            </w:pPr>
          </w:p>
          <w:p w14:paraId="1C83BFF7">
            <w:pPr>
              <w:widowControl w:val="0"/>
              <w:spacing w:line="240" w:lineRule="auto"/>
              <w:ind w:firstLine="0" w:firstLineChars="0"/>
              <w:rPr>
                <w:rFonts w:hAnsi="仿宋"/>
                <w:sz w:val="24"/>
                <w:szCs w:val="24"/>
                <w:lang w:val="en-GB"/>
              </w:rPr>
            </w:pPr>
          </w:p>
          <w:p w14:paraId="1CC93DE9">
            <w:pPr>
              <w:widowControl w:val="0"/>
              <w:spacing w:line="240" w:lineRule="auto"/>
              <w:ind w:firstLine="3120" w:firstLineChars="1300"/>
              <w:rPr>
                <w:rFonts w:hAnsi="仿宋"/>
                <w:sz w:val="24"/>
                <w:szCs w:val="24"/>
                <w:lang w:val="en-GB"/>
              </w:rPr>
            </w:pPr>
            <w:r>
              <w:rPr>
                <w:rFonts w:hAnsi="仿宋"/>
                <w:sz w:val="24"/>
                <w:szCs w:val="24"/>
                <w:lang w:val="en-GB"/>
              </w:rPr>
              <w:t>年</w:t>
            </w:r>
            <w:r>
              <w:rPr>
                <w:rFonts w:hint="eastAsia" w:hAnsi="仿宋"/>
                <w:sz w:val="24"/>
                <w:szCs w:val="24"/>
                <w:lang w:val="en-GB"/>
              </w:rPr>
              <w:t xml:space="preserve">    月    日</w:t>
            </w:r>
          </w:p>
        </w:tc>
        <w:tc>
          <w:tcPr>
            <w:tcW w:w="5030" w:type="dxa"/>
            <w:gridSpan w:val="3"/>
            <w:tcBorders>
              <w:top w:val="single" w:color="auto" w:sz="4" w:space="0"/>
              <w:left w:val="single" w:color="auto" w:sz="4" w:space="0"/>
              <w:bottom w:val="single" w:color="auto" w:sz="4" w:space="0"/>
              <w:right w:val="single" w:color="auto" w:sz="4" w:space="0"/>
            </w:tcBorders>
          </w:tcPr>
          <w:p w14:paraId="01CEFB24">
            <w:pPr>
              <w:widowControl w:val="0"/>
              <w:spacing w:line="240" w:lineRule="auto"/>
              <w:ind w:firstLine="0" w:firstLineChars="0"/>
              <w:jc w:val="center"/>
              <w:rPr>
                <w:rFonts w:hAnsi="仿宋"/>
                <w:b/>
                <w:sz w:val="24"/>
                <w:szCs w:val="24"/>
                <w:lang w:val="en-GB"/>
              </w:rPr>
            </w:pPr>
            <w:r>
              <w:rPr>
                <w:rFonts w:hint="eastAsia" w:hAnsi="仿宋"/>
                <w:b/>
                <w:sz w:val="24"/>
                <w:szCs w:val="24"/>
                <w:lang w:val="en-GB"/>
              </w:rPr>
              <w:t>债券融出方单位公章或预留印鉴</w:t>
            </w:r>
          </w:p>
          <w:p w14:paraId="4DA3D125">
            <w:pPr>
              <w:widowControl w:val="0"/>
              <w:spacing w:line="240" w:lineRule="auto"/>
              <w:ind w:firstLine="0" w:firstLineChars="0"/>
              <w:rPr>
                <w:rFonts w:hAnsi="仿宋"/>
                <w:sz w:val="24"/>
                <w:szCs w:val="24"/>
                <w:lang w:val="en-GB"/>
              </w:rPr>
            </w:pPr>
          </w:p>
          <w:p w14:paraId="220354B8">
            <w:pPr>
              <w:widowControl w:val="0"/>
              <w:spacing w:line="240" w:lineRule="auto"/>
              <w:ind w:firstLine="0" w:firstLineChars="0"/>
              <w:rPr>
                <w:rFonts w:hAnsi="仿宋"/>
                <w:sz w:val="24"/>
                <w:szCs w:val="24"/>
                <w:lang w:val="en-GB"/>
              </w:rPr>
            </w:pPr>
          </w:p>
          <w:p w14:paraId="5CED3993">
            <w:pPr>
              <w:widowControl w:val="0"/>
              <w:spacing w:line="240" w:lineRule="auto"/>
              <w:ind w:firstLine="0" w:firstLineChars="0"/>
              <w:rPr>
                <w:rFonts w:hAnsi="仿宋"/>
                <w:sz w:val="24"/>
                <w:szCs w:val="24"/>
                <w:lang w:val="en-GB"/>
              </w:rPr>
            </w:pPr>
          </w:p>
          <w:p w14:paraId="514F03AA">
            <w:pPr>
              <w:widowControl w:val="0"/>
              <w:spacing w:line="240" w:lineRule="auto"/>
              <w:ind w:firstLine="0" w:firstLineChars="0"/>
              <w:rPr>
                <w:rFonts w:hAnsi="仿宋"/>
                <w:sz w:val="24"/>
                <w:szCs w:val="24"/>
                <w:lang w:val="en-GB"/>
              </w:rPr>
            </w:pPr>
          </w:p>
          <w:p w14:paraId="5565A859">
            <w:pPr>
              <w:widowControl w:val="0"/>
              <w:spacing w:line="240" w:lineRule="auto"/>
              <w:ind w:firstLine="3120" w:firstLineChars="1300"/>
              <w:rPr>
                <w:rFonts w:hAnsi="仿宋"/>
                <w:sz w:val="24"/>
                <w:szCs w:val="24"/>
                <w:lang w:val="en-GB"/>
              </w:rPr>
            </w:pPr>
            <w:r>
              <w:rPr>
                <w:rFonts w:hAnsi="仿宋"/>
                <w:sz w:val="24"/>
                <w:szCs w:val="24"/>
                <w:lang w:val="en-GB"/>
              </w:rPr>
              <w:t>年</w:t>
            </w:r>
            <w:r>
              <w:rPr>
                <w:rFonts w:hint="eastAsia" w:hAnsi="仿宋"/>
                <w:sz w:val="24"/>
                <w:szCs w:val="24"/>
                <w:lang w:val="en-GB"/>
              </w:rPr>
              <w:t xml:space="preserve">    月    日</w:t>
            </w:r>
          </w:p>
        </w:tc>
      </w:tr>
      <w:bookmarkEnd w:id="112"/>
    </w:tbl>
    <w:p w14:paraId="2D9D2F17">
      <w:pPr>
        <w:widowControl w:val="0"/>
        <w:spacing w:line="240" w:lineRule="auto"/>
        <w:ind w:firstLine="0" w:firstLineChars="0"/>
        <w:rPr>
          <w:rFonts w:ascii="Calibri"/>
          <w:snapToGrid/>
          <w:kern w:val="2"/>
          <w:sz w:val="24"/>
          <w:szCs w:val="22"/>
        </w:rPr>
      </w:pPr>
      <w:r>
        <w:rPr>
          <w:rFonts w:hint="eastAsia" w:ascii="Calibri"/>
          <w:b/>
          <w:snapToGrid/>
          <w:kern w:val="2"/>
          <w:sz w:val="24"/>
          <w:szCs w:val="22"/>
        </w:rPr>
        <w:t>填表说明</w:t>
      </w:r>
      <w:r>
        <w:rPr>
          <w:rFonts w:hint="eastAsia" w:hAnsi="仿宋"/>
          <w:b/>
          <w:bCs/>
          <w:snapToGrid/>
          <w:kern w:val="2"/>
          <w:sz w:val="24"/>
          <w:szCs w:val="22"/>
        </w:rPr>
        <w:t>（该填表说明可无需打印</w:t>
      </w:r>
      <w:r>
        <w:rPr>
          <w:rFonts w:hAnsi="仿宋"/>
          <w:b/>
          <w:bCs/>
          <w:snapToGrid/>
          <w:kern w:val="2"/>
          <w:sz w:val="24"/>
          <w:szCs w:val="22"/>
        </w:rPr>
        <w:t>）</w:t>
      </w:r>
      <w:r>
        <w:rPr>
          <w:rFonts w:hint="eastAsia" w:ascii="Calibri"/>
          <w:b/>
          <w:snapToGrid/>
          <w:kern w:val="2"/>
          <w:sz w:val="24"/>
          <w:szCs w:val="22"/>
        </w:rPr>
        <w:t>：</w:t>
      </w:r>
      <w:r>
        <w:rPr>
          <w:rFonts w:ascii="Calibri"/>
          <w:snapToGrid/>
          <w:kern w:val="2"/>
          <w:sz w:val="24"/>
          <w:szCs w:val="22"/>
        </w:rPr>
        <w:t xml:space="preserve"> </w:t>
      </w:r>
    </w:p>
    <w:p w14:paraId="7D05D1FC">
      <w:pPr>
        <w:widowControl w:val="0"/>
        <w:spacing w:line="240" w:lineRule="auto"/>
        <w:ind w:firstLine="0" w:firstLineChars="0"/>
        <w:jc w:val="both"/>
        <w:rPr>
          <w:rFonts w:hint="eastAsia" w:hAnsi="仿宋" w:eastAsia="仿宋"/>
          <w:snapToGrid/>
          <w:kern w:val="2"/>
          <w:sz w:val="24"/>
          <w:szCs w:val="22"/>
          <w:lang w:eastAsia="zh-CN"/>
        </w:rPr>
      </w:pPr>
      <w:r>
        <w:rPr>
          <w:rFonts w:hint="eastAsia" w:hAnsi="仿宋"/>
          <w:snapToGrid/>
          <w:kern w:val="2"/>
          <w:sz w:val="24"/>
          <w:szCs w:val="22"/>
        </w:rPr>
        <w:t>1.因网络、系统或其他原因，若借贷双方任一方无法及时通过综合业务系统客户端完成债券借贷到期逾期返售指令发起或确认的，应在不晚于逾期返售指令结算当日16:30之前，</w:t>
      </w:r>
      <w:r>
        <w:rPr>
          <w:rFonts w:hint="eastAsia" w:hAnsi="仿宋"/>
          <w:snapToGrid/>
          <w:kern w:val="2"/>
          <w:sz w:val="24"/>
          <w:szCs w:val="22"/>
          <w:lang w:eastAsia="zh-CN"/>
        </w:rPr>
        <w:t>通过电子邮件方式</w:t>
      </w:r>
      <w:r>
        <w:rPr>
          <w:rFonts w:hint="eastAsia" w:hAnsi="仿宋"/>
          <w:snapToGrid/>
          <w:kern w:val="2"/>
          <w:sz w:val="24"/>
          <w:szCs w:val="22"/>
        </w:rPr>
        <w:t>向上海清算所运营部提交《债券借贷到期逾期返售业务应急指令书》PDF格式盖章扫描件方式办理。</w:t>
      </w:r>
      <w:r>
        <w:rPr>
          <w:rFonts w:hint="eastAsia" w:hAnsi="仿宋"/>
          <w:snapToGrid/>
          <w:kern w:val="2"/>
          <w:sz w:val="24"/>
          <w:szCs w:val="22"/>
          <w:lang w:eastAsia="zh-CN"/>
        </w:rPr>
        <w:t>除备注信息外，</w:t>
      </w:r>
      <w:r>
        <w:rPr>
          <w:rFonts w:hint="eastAsia" w:hAnsi="仿宋"/>
          <w:snapToGrid/>
          <w:kern w:val="2"/>
          <w:sz w:val="24"/>
          <w:szCs w:val="22"/>
        </w:rPr>
        <w:t>应急指令书中各项内容均为必填项</w:t>
      </w:r>
      <w:r>
        <w:rPr>
          <w:rFonts w:hint="eastAsia" w:hAnsi="仿宋"/>
          <w:snapToGrid/>
          <w:kern w:val="2"/>
          <w:sz w:val="24"/>
          <w:szCs w:val="22"/>
          <w:lang w:eastAsia="zh-CN"/>
        </w:rPr>
        <w:t>；</w:t>
      </w:r>
      <w:r>
        <w:rPr>
          <w:rFonts w:hint="eastAsia" w:hAnsi="仿宋"/>
          <w:snapToGrid/>
          <w:kern w:val="2"/>
          <w:sz w:val="24"/>
          <w:szCs w:val="22"/>
        </w:rPr>
        <w:t>除盖章和日期外，所有信息请勿手写</w:t>
      </w:r>
      <w:r>
        <w:rPr>
          <w:rFonts w:hint="eastAsia" w:hAnsi="仿宋"/>
          <w:snapToGrid/>
          <w:kern w:val="2"/>
          <w:sz w:val="24"/>
          <w:szCs w:val="22"/>
          <w:lang w:eastAsia="zh-CN"/>
        </w:rPr>
        <w:t>。</w:t>
      </w:r>
    </w:p>
    <w:p w14:paraId="4A41041D">
      <w:pPr>
        <w:widowControl w:val="0"/>
        <w:spacing w:line="240" w:lineRule="auto"/>
        <w:ind w:firstLine="0" w:firstLineChars="0"/>
        <w:jc w:val="both"/>
        <w:rPr>
          <w:rFonts w:hint="eastAsia" w:hAnsi="仿宋"/>
          <w:snapToGrid/>
          <w:kern w:val="2"/>
          <w:sz w:val="24"/>
          <w:szCs w:val="22"/>
        </w:rPr>
      </w:pPr>
      <w:r>
        <w:rPr>
          <w:rFonts w:hint="eastAsia" w:hAnsi="仿宋"/>
          <w:snapToGrid/>
          <w:kern w:val="2"/>
          <w:sz w:val="24"/>
          <w:szCs w:val="22"/>
        </w:rPr>
        <w:t>2.对于上海清算所作为标的券托管机构的跨机构借贷到期逾期返售的操作应急，负责提交应急指令书的借贷一方应在不晚于逾期返售指令结算当日11:30之前，向上海清算所运营部提交《债券借贷到期逾期返售业务应急指令书》PDF格式盖章扫描件。</w:t>
      </w:r>
    </w:p>
    <w:p w14:paraId="364F3297">
      <w:pPr>
        <w:widowControl w:val="0"/>
        <w:spacing w:line="240" w:lineRule="auto"/>
        <w:ind w:firstLine="0" w:firstLineChars="0"/>
        <w:jc w:val="both"/>
        <w:rPr>
          <w:rFonts w:hint="default" w:hAnsi="仿宋" w:eastAsia="仿宋"/>
          <w:snapToGrid/>
          <w:kern w:val="2"/>
          <w:sz w:val="24"/>
          <w:szCs w:val="22"/>
          <w:lang w:val="en-US" w:eastAsia="zh-CN"/>
        </w:rPr>
      </w:pPr>
      <w:r>
        <w:rPr>
          <w:rFonts w:hint="eastAsia" w:hAnsi="仿宋"/>
          <w:snapToGrid/>
          <w:kern w:val="2"/>
          <w:sz w:val="24"/>
          <w:szCs w:val="22"/>
          <w:lang w:val="en-US" w:eastAsia="zh-CN"/>
        </w:rPr>
        <w:t>3.对于业务应急类型为“</w:t>
      </w:r>
      <w:r>
        <w:rPr>
          <w:rFonts w:hint="eastAsia" w:hAnsi="仿宋"/>
          <w:sz w:val="24"/>
          <w:szCs w:val="24"/>
          <w:lang w:val="en-GB"/>
        </w:rPr>
        <w:t>到期逾期返售指令发起操作应急</w:t>
      </w:r>
      <w:r>
        <w:rPr>
          <w:rFonts w:hint="eastAsia" w:hAnsi="仿宋"/>
          <w:snapToGrid/>
          <w:kern w:val="2"/>
          <w:sz w:val="24"/>
          <w:szCs w:val="22"/>
          <w:lang w:val="en-US" w:eastAsia="zh-CN"/>
        </w:rPr>
        <w:t>”的操作，需由借贷双方共同盖章（自身公章或预留的结算业务印鉴），并由其中一方及时通过电子邮件方式将本应急指令书PDF格式盖章扫描件发送至上海清算所运营部；对于业务应急类型为“</w:t>
      </w:r>
      <w:r>
        <w:rPr>
          <w:rFonts w:hint="eastAsia" w:hAnsi="仿宋"/>
          <w:sz w:val="24"/>
          <w:szCs w:val="24"/>
          <w:lang w:val="en-GB"/>
        </w:rPr>
        <w:t>到期逾期返售指令确认操作应急</w:t>
      </w:r>
      <w:r>
        <w:rPr>
          <w:rFonts w:hint="eastAsia" w:hAnsi="仿宋"/>
          <w:snapToGrid/>
          <w:kern w:val="2"/>
          <w:sz w:val="24"/>
          <w:szCs w:val="22"/>
          <w:lang w:val="en-US" w:eastAsia="zh-CN"/>
        </w:rPr>
        <w:t>”的操作，由无法通过综合业务系统客户端完成指令确认操作的借贷一方加盖自身公章或预留的结算业务印鉴章后，通过电子邮件方式将本业务应急指令书PDF格式盖章扫描件发送至上海清算所运营部。</w:t>
      </w:r>
    </w:p>
    <w:p w14:paraId="36FD3802">
      <w:pPr>
        <w:widowControl w:val="0"/>
        <w:spacing w:line="240" w:lineRule="auto"/>
        <w:ind w:firstLine="0" w:firstLineChars="0"/>
        <w:jc w:val="both"/>
        <w:rPr>
          <w:rFonts w:hAnsi="仿宋"/>
          <w:b/>
          <w:snapToGrid/>
          <w:kern w:val="2"/>
          <w:sz w:val="24"/>
          <w:szCs w:val="22"/>
        </w:rPr>
      </w:pPr>
    </w:p>
    <w:p w14:paraId="54F9BA29">
      <w:pPr>
        <w:widowControl w:val="0"/>
        <w:spacing w:line="240" w:lineRule="auto"/>
        <w:ind w:firstLine="0" w:firstLineChars="0"/>
        <w:jc w:val="both"/>
        <w:rPr>
          <w:rFonts w:hAnsi="仿宋"/>
          <w:b/>
          <w:snapToGrid/>
          <w:kern w:val="2"/>
          <w:sz w:val="24"/>
          <w:szCs w:val="22"/>
        </w:rPr>
      </w:pPr>
    </w:p>
    <w:p w14:paraId="28197E96">
      <w:pPr>
        <w:widowControl w:val="0"/>
        <w:spacing w:line="240" w:lineRule="auto"/>
        <w:ind w:firstLine="0" w:firstLineChars="0"/>
        <w:jc w:val="both"/>
        <w:rPr>
          <w:rFonts w:hAnsi="仿宋"/>
          <w:b/>
          <w:snapToGrid/>
          <w:kern w:val="2"/>
          <w:sz w:val="24"/>
          <w:szCs w:val="22"/>
        </w:rPr>
      </w:pPr>
      <w:r>
        <w:rPr>
          <w:rFonts w:hint="eastAsia" w:hAnsi="仿宋"/>
          <w:b/>
          <w:snapToGrid/>
          <w:kern w:val="2"/>
          <w:sz w:val="24"/>
          <w:szCs w:val="22"/>
        </w:rPr>
        <w:t>客户服务中心联系电话（负责日常业务问题解答）：</w:t>
      </w:r>
      <w:r>
        <w:rPr>
          <w:rFonts w:hAnsi="仿宋"/>
          <w:snapToGrid/>
          <w:kern w:val="2"/>
          <w:sz w:val="24"/>
          <w:szCs w:val="22"/>
        </w:rPr>
        <w:t>400-820-0002</w:t>
      </w:r>
    </w:p>
    <w:p w14:paraId="5EB562E4">
      <w:pPr>
        <w:widowControl w:val="0"/>
        <w:spacing w:line="240" w:lineRule="auto"/>
        <w:ind w:firstLine="0" w:firstLineChars="0"/>
        <w:jc w:val="both"/>
        <w:rPr>
          <w:rFonts w:hAnsi="仿宋"/>
          <w:b/>
          <w:bCs/>
          <w:snapToGrid/>
          <w:kern w:val="2"/>
          <w:sz w:val="24"/>
          <w:szCs w:val="36"/>
        </w:rPr>
      </w:pPr>
      <w:r>
        <w:rPr>
          <w:rFonts w:hint="eastAsia" w:hAnsi="仿宋"/>
          <w:b/>
          <w:bCs/>
          <w:snapToGrid/>
          <w:kern w:val="2"/>
          <w:sz w:val="24"/>
          <w:szCs w:val="36"/>
        </w:rPr>
        <w:t>运营咨询联系方式（负责材料受理及系统操作）：</w:t>
      </w:r>
    </w:p>
    <w:p w14:paraId="118D833B">
      <w:pPr>
        <w:widowControl w:val="0"/>
        <w:spacing w:line="240" w:lineRule="auto"/>
        <w:ind w:firstLine="0" w:firstLineChars="0"/>
        <w:jc w:val="both"/>
        <w:rPr>
          <w:rFonts w:hAnsi="仿宋"/>
          <w:snapToGrid/>
          <w:kern w:val="2"/>
          <w:sz w:val="24"/>
          <w:szCs w:val="22"/>
        </w:rPr>
      </w:pPr>
      <w:r>
        <w:rPr>
          <w:rFonts w:hint="eastAsia" w:hAnsi="仿宋"/>
          <w:snapToGrid/>
          <w:kern w:val="2"/>
          <w:sz w:val="24"/>
          <w:szCs w:val="22"/>
        </w:rPr>
        <w:t>联系电话：021-23198776；邮箱：account@shclearing.com.cn</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numberInDash"/>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C64E0">
    <w:pPr>
      <w:pStyle w:val="10"/>
      <w:ind w:right="180" w:firstLine="560"/>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33 -</w:t>
    </w:r>
    <w:r>
      <w:rPr>
        <w:rFonts w:ascii="宋体" w:hAnsi="宋体" w:eastAsia="宋体"/>
        <w:sz w:val="28"/>
        <w:szCs w:val="28"/>
      </w:rPr>
      <w:fldChar w:fldCharType="end"/>
    </w:r>
  </w:p>
  <w:p w14:paraId="3F4563F8">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44F09">
    <w:pPr>
      <w:pStyle w:val="10"/>
      <w:ind w:firstLine="280" w:firstLineChars="100"/>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32 -</w:t>
    </w:r>
    <w:r>
      <w:rPr>
        <w:rFonts w:ascii="宋体" w:hAnsi="宋体" w:eastAsia="宋体"/>
        <w:sz w:val="28"/>
        <w:szCs w:val="28"/>
      </w:rPr>
      <w:fldChar w:fldCharType="end"/>
    </w:r>
  </w:p>
  <w:p w14:paraId="73E20711">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2345D">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2">
    <w:p>
      <w:pPr>
        <w:spacing w:line="240" w:lineRule="auto"/>
        <w:ind w:firstLine="640"/>
      </w:pPr>
      <w:r>
        <w:separator/>
      </w:r>
    </w:p>
  </w:footnote>
  <w:footnote w:type="continuationSeparator" w:id="43">
    <w:p>
      <w:pPr>
        <w:spacing w:line="240" w:lineRule="auto"/>
        <w:ind w:firstLine="640"/>
      </w:pPr>
      <w:r>
        <w:continuationSeparator/>
      </w:r>
    </w:p>
  </w:footnote>
  <w:footnote w:id="0">
    <w:p w14:paraId="5A891BE8">
      <w:pPr>
        <w:pStyle w:val="14"/>
        <w:spacing w:line="240" w:lineRule="auto"/>
        <w:ind w:firstLine="0" w:firstLineChars="0"/>
        <w:jc w:val="both"/>
        <w:rPr>
          <w:sz w:val="24"/>
          <w:szCs w:val="24"/>
          <w:highlight w:val="none"/>
        </w:rPr>
      </w:pPr>
      <w:r>
        <w:rPr>
          <w:rStyle w:val="22"/>
          <w:sz w:val="24"/>
          <w:szCs w:val="24"/>
        </w:rPr>
        <w:footnoteRef/>
      </w:r>
      <w:r>
        <w:rPr>
          <w:rFonts w:hint="eastAsia"/>
          <w:sz w:val="24"/>
          <w:szCs w:val="24"/>
          <w:highlight w:val="none"/>
        </w:rPr>
        <w:t>详见公司官网首页&gt;&gt;产品与业务&gt;&gt;</w:t>
      </w:r>
      <w:r>
        <w:rPr>
          <w:rFonts w:hint="eastAsia"/>
          <w:sz w:val="24"/>
          <w:szCs w:val="24"/>
          <w:highlight w:val="none"/>
          <w:lang w:eastAsia="zh-CN"/>
        </w:rPr>
        <w:t>规则指南</w:t>
      </w:r>
      <w:r>
        <w:rPr>
          <w:rFonts w:hint="eastAsia"/>
          <w:sz w:val="24"/>
          <w:szCs w:val="24"/>
          <w:highlight w:val="none"/>
        </w:rPr>
        <w:t>&gt;&gt;</w:t>
      </w:r>
      <w:r>
        <w:rPr>
          <w:rFonts w:hint="eastAsia"/>
          <w:sz w:val="24"/>
          <w:szCs w:val="24"/>
          <w:highlight w:val="none"/>
          <w:lang w:eastAsia="zh-CN"/>
        </w:rPr>
        <w:t>业务规则</w:t>
      </w:r>
      <w:r>
        <w:rPr>
          <w:rFonts w:hint="eastAsia"/>
          <w:sz w:val="24"/>
          <w:szCs w:val="24"/>
          <w:highlight w:val="none"/>
        </w:rPr>
        <w:t>，网页链接：</w:t>
      </w:r>
    </w:p>
    <w:p w14:paraId="4044383A">
      <w:pPr>
        <w:pStyle w:val="14"/>
        <w:snapToGrid/>
        <w:spacing w:line="240" w:lineRule="auto"/>
        <w:ind w:firstLine="0" w:firstLineChars="0"/>
        <w:jc w:val="both"/>
        <w:rPr>
          <w:sz w:val="24"/>
          <w:szCs w:val="24"/>
          <w:highlight w:val="none"/>
        </w:rPr>
      </w:pPr>
      <w:r>
        <w:rPr>
          <w:rFonts w:hint="eastAsia"/>
          <w:sz w:val="24"/>
          <w:szCs w:val="24"/>
          <w:highlight w:val="none"/>
        </w:rPr>
        <w:t>https://www.shclearing.com.cn/cpyyw/gzzn/ywgz/202607/t20260717_1827878.html（相关网页地址可能会不时更新，请从公司官网目录查询相关文件）</w:t>
      </w:r>
    </w:p>
  </w:footnote>
  <w:footnote w:id="1">
    <w:p w14:paraId="18461FE7">
      <w:pPr>
        <w:pStyle w:val="14"/>
        <w:spacing w:line="240" w:lineRule="auto"/>
        <w:ind w:firstLine="0" w:firstLineChars="0"/>
        <w:rPr>
          <w:sz w:val="24"/>
          <w:szCs w:val="24"/>
        </w:rPr>
      </w:pPr>
      <w:r>
        <w:rPr>
          <w:rStyle w:val="22"/>
          <w:sz w:val="24"/>
          <w:szCs w:val="24"/>
        </w:rPr>
        <w:footnoteRef/>
      </w:r>
      <w:r>
        <w:rPr>
          <w:rFonts w:hint="eastAsia"/>
          <w:sz w:val="24"/>
          <w:szCs w:val="24"/>
        </w:rPr>
        <w:t>即在上海清算所综合业务系统生成对应的结算指令信息。</w:t>
      </w:r>
    </w:p>
  </w:footnote>
  <w:footnote w:id="2">
    <w:p w14:paraId="361A5621">
      <w:pPr>
        <w:pStyle w:val="14"/>
        <w:spacing w:line="240" w:lineRule="auto"/>
        <w:ind w:firstLine="0" w:firstLineChars="0"/>
        <w:rPr>
          <w:sz w:val="24"/>
          <w:szCs w:val="24"/>
        </w:rPr>
      </w:pPr>
      <w:r>
        <w:rPr>
          <w:rStyle w:val="22"/>
          <w:sz w:val="24"/>
          <w:szCs w:val="24"/>
        </w:rPr>
        <w:footnoteRef/>
      </w:r>
      <w:r>
        <w:rPr>
          <w:sz w:val="24"/>
          <w:szCs w:val="24"/>
        </w:rPr>
        <w:t>债券借贷存续期间不包括到期结算日当日</w:t>
      </w:r>
      <w:r>
        <w:rPr>
          <w:rFonts w:hint="eastAsia"/>
          <w:sz w:val="24"/>
          <w:szCs w:val="24"/>
        </w:rPr>
        <w:t>。</w:t>
      </w:r>
    </w:p>
  </w:footnote>
  <w:footnote w:id="3">
    <w:p w14:paraId="2DAD02FF">
      <w:pPr>
        <w:pStyle w:val="14"/>
        <w:spacing w:line="240" w:lineRule="auto"/>
        <w:ind w:firstLine="0" w:firstLineChars="0"/>
        <w:jc w:val="both"/>
        <w:rPr>
          <w:sz w:val="24"/>
          <w:szCs w:val="24"/>
        </w:rPr>
      </w:pPr>
      <w:r>
        <w:rPr>
          <w:rStyle w:val="22"/>
          <w:sz w:val="24"/>
          <w:szCs w:val="24"/>
        </w:rPr>
        <w:footnoteRef/>
      </w:r>
      <w:r>
        <w:rPr>
          <w:rFonts w:hint="eastAsia"/>
          <w:sz w:val="24"/>
          <w:szCs w:val="24"/>
        </w:rPr>
        <w:t>对于T+</w:t>
      </w:r>
      <w:r>
        <w:rPr>
          <w:sz w:val="24"/>
          <w:szCs w:val="24"/>
        </w:rPr>
        <w:t>1结算</w:t>
      </w:r>
      <w:r>
        <w:rPr>
          <w:rFonts w:hint="eastAsia"/>
          <w:sz w:val="24"/>
          <w:szCs w:val="24"/>
        </w:rPr>
        <w:t>且上海清算所作为质押券托管机构</w:t>
      </w:r>
      <w:r>
        <w:rPr>
          <w:sz w:val="24"/>
          <w:szCs w:val="24"/>
        </w:rPr>
        <w:t>的跨机构借贷交易</w:t>
      </w:r>
      <w:r>
        <w:rPr>
          <w:rFonts w:hint="eastAsia"/>
          <w:sz w:val="24"/>
          <w:szCs w:val="24"/>
        </w:rPr>
        <w:t>，</w:t>
      </w:r>
      <w:r>
        <w:rPr>
          <w:sz w:val="24"/>
          <w:szCs w:val="24"/>
        </w:rPr>
        <w:t>若借贷双方</w:t>
      </w:r>
      <w:r>
        <w:rPr>
          <w:rFonts w:hint="eastAsia"/>
          <w:sz w:val="24"/>
          <w:szCs w:val="24"/>
        </w:rPr>
        <w:t>在交易日（</w:t>
      </w:r>
      <w:r>
        <w:rPr>
          <w:sz w:val="24"/>
          <w:szCs w:val="24"/>
        </w:rPr>
        <w:t>T日</w:t>
      </w:r>
      <w:r>
        <w:rPr>
          <w:rFonts w:hint="eastAsia"/>
          <w:sz w:val="24"/>
          <w:szCs w:val="24"/>
        </w:rPr>
        <w:t>）</w:t>
      </w:r>
      <w:r>
        <w:rPr>
          <w:sz w:val="24"/>
          <w:szCs w:val="24"/>
        </w:rPr>
        <w:t>已在中央结算公司</w:t>
      </w:r>
      <w:r>
        <w:rPr>
          <w:rFonts w:hint="eastAsia"/>
          <w:sz w:val="24"/>
          <w:szCs w:val="24"/>
        </w:rPr>
        <w:t>系统</w:t>
      </w:r>
      <w:r>
        <w:rPr>
          <w:sz w:val="24"/>
          <w:szCs w:val="24"/>
        </w:rPr>
        <w:t>完成成交数据的指令确认操作</w:t>
      </w:r>
      <w:r>
        <w:rPr>
          <w:rFonts w:hint="eastAsia"/>
          <w:sz w:val="24"/>
          <w:szCs w:val="24"/>
        </w:rPr>
        <w:t>，</w:t>
      </w:r>
      <w:r>
        <w:rPr>
          <w:sz w:val="24"/>
          <w:szCs w:val="24"/>
        </w:rPr>
        <w:t>中央结算公司</w:t>
      </w:r>
      <w:r>
        <w:rPr>
          <w:rFonts w:hint="eastAsia"/>
          <w:sz w:val="24"/>
          <w:szCs w:val="24"/>
        </w:rPr>
        <w:t>将</w:t>
      </w:r>
      <w:r>
        <w:rPr>
          <w:sz w:val="24"/>
          <w:szCs w:val="24"/>
        </w:rPr>
        <w:t>统一在首期结算日当日将</w:t>
      </w:r>
      <w:r>
        <w:rPr>
          <w:rFonts w:hint="eastAsia"/>
          <w:sz w:val="24"/>
          <w:szCs w:val="24"/>
        </w:rPr>
        <w:t>成交数据已完成指令确认的报文推送至上海清算所系统。因此，在首期结算日之前，借贷双方即使已在两家托管机构完成成交数据的指令确认操作，该笔成交数据在上海清算所综合业务系统中的“交易状态”仍为“待确认”。</w:t>
      </w:r>
    </w:p>
  </w:footnote>
  <w:footnote w:id="4">
    <w:p w14:paraId="2206C483">
      <w:pPr>
        <w:pStyle w:val="14"/>
        <w:spacing w:line="240" w:lineRule="auto"/>
        <w:ind w:firstLine="0" w:firstLineChars="0"/>
        <w:jc w:val="both"/>
        <w:rPr>
          <w:sz w:val="24"/>
          <w:szCs w:val="24"/>
        </w:rPr>
      </w:pPr>
      <w:r>
        <w:rPr>
          <w:rStyle w:val="22"/>
          <w:sz w:val="24"/>
          <w:szCs w:val="24"/>
        </w:rPr>
        <w:footnoteRef/>
      </w:r>
      <w:r>
        <w:rPr>
          <w:rFonts w:hint="eastAsia"/>
          <w:sz w:val="24"/>
          <w:szCs w:val="24"/>
        </w:rPr>
        <w:t>借贷双方可登录综合业务系统客户端【清算-本币清算平台-本币全额-全额交易明细管理】界面实时进行查询。</w:t>
      </w:r>
    </w:p>
  </w:footnote>
  <w:footnote w:id="5">
    <w:p w14:paraId="4F7316F0">
      <w:pPr>
        <w:pStyle w:val="14"/>
        <w:spacing w:line="240" w:lineRule="auto"/>
        <w:ind w:firstLine="0" w:firstLineChars="0"/>
        <w:jc w:val="both"/>
        <w:rPr>
          <w:sz w:val="24"/>
          <w:szCs w:val="24"/>
        </w:rPr>
      </w:pPr>
      <w:r>
        <w:rPr>
          <w:rStyle w:val="22"/>
          <w:sz w:val="24"/>
          <w:szCs w:val="24"/>
        </w:rPr>
        <w:footnoteRef/>
      </w:r>
      <w:r>
        <w:rPr>
          <w:rFonts w:hint="eastAsia"/>
          <w:sz w:val="24"/>
          <w:szCs w:val="24"/>
        </w:rPr>
        <w:t>借贷双方可登录综合业务系统客户端【清算-本币清算平台-本币全额-全额结算管理】界面实时进行查询。</w:t>
      </w:r>
    </w:p>
  </w:footnote>
  <w:footnote w:id="6">
    <w:p w14:paraId="7649A32D">
      <w:pPr>
        <w:pStyle w:val="14"/>
        <w:spacing w:line="240" w:lineRule="auto"/>
        <w:ind w:firstLine="0" w:firstLineChars="0"/>
        <w:jc w:val="both"/>
        <w:rPr>
          <w:sz w:val="24"/>
          <w:szCs w:val="24"/>
        </w:rPr>
      </w:pPr>
      <w:r>
        <w:rPr>
          <w:rStyle w:val="22"/>
          <w:sz w:val="24"/>
          <w:szCs w:val="24"/>
        </w:rPr>
        <w:footnoteRef/>
      </w:r>
      <w:r>
        <w:rPr>
          <w:sz w:val="24"/>
          <w:szCs w:val="24"/>
        </w:rPr>
        <w:t>办理质押券足额质押后</w:t>
      </w:r>
      <w:r>
        <w:rPr>
          <w:rFonts w:hint="eastAsia"/>
          <w:sz w:val="24"/>
          <w:szCs w:val="24"/>
        </w:rPr>
        <w:t>，</w:t>
      </w:r>
      <w:r>
        <w:rPr>
          <w:sz w:val="24"/>
          <w:szCs w:val="24"/>
        </w:rPr>
        <w:t>上海清算所综合业务系统</w:t>
      </w:r>
      <w:r>
        <w:rPr>
          <w:rFonts w:hint="eastAsia"/>
          <w:sz w:val="24"/>
          <w:szCs w:val="24"/>
        </w:rPr>
        <w:t>中</w:t>
      </w:r>
      <w:r>
        <w:rPr>
          <w:sz w:val="24"/>
          <w:szCs w:val="24"/>
        </w:rPr>
        <w:t>该笔跨机构借贷首期结算指令的</w:t>
      </w:r>
      <w:r>
        <w:rPr>
          <w:rFonts w:hint="eastAsia"/>
          <w:sz w:val="24"/>
          <w:szCs w:val="24"/>
        </w:rPr>
        <w:t>【全额结算指令状态】变更为“成功”。</w:t>
      </w:r>
    </w:p>
  </w:footnote>
  <w:footnote w:id="7">
    <w:p w14:paraId="1480C5D0">
      <w:pPr>
        <w:pStyle w:val="14"/>
        <w:spacing w:line="240" w:lineRule="auto"/>
        <w:ind w:firstLine="0" w:firstLineChars="0"/>
        <w:jc w:val="both"/>
        <w:rPr>
          <w:sz w:val="24"/>
          <w:szCs w:val="24"/>
        </w:rPr>
      </w:pPr>
      <w:r>
        <w:rPr>
          <w:rStyle w:val="22"/>
          <w:sz w:val="24"/>
          <w:szCs w:val="24"/>
        </w:rPr>
        <w:footnoteRef/>
      </w:r>
      <w:r>
        <w:rPr>
          <w:sz w:val="24"/>
          <w:szCs w:val="24"/>
        </w:rPr>
        <w:t>首期解押指令将基于中央结算公司后续标的券过户情况</w:t>
      </w:r>
      <w:r>
        <w:rPr>
          <w:rFonts w:hint="eastAsia"/>
          <w:sz w:val="24"/>
          <w:szCs w:val="24"/>
        </w:rPr>
        <w:t>自动判断是否需对上海清算所已成功质押的债券进行解押。</w:t>
      </w:r>
    </w:p>
  </w:footnote>
  <w:footnote w:id="8">
    <w:p w14:paraId="43507EE4">
      <w:pPr>
        <w:pStyle w:val="14"/>
        <w:spacing w:line="240" w:lineRule="auto"/>
        <w:ind w:firstLine="0" w:firstLineChars="0"/>
        <w:jc w:val="both"/>
        <w:rPr>
          <w:sz w:val="24"/>
          <w:szCs w:val="24"/>
        </w:rPr>
      </w:pPr>
      <w:r>
        <w:rPr>
          <w:rStyle w:val="22"/>
          <w:sz w:val="24"/>
          <w:szCs w:val="24"/>
        </w:rPr>
        <w:footnoteRef/>
      </w:r>
      <w:r>
        <w:rPr>
          <w:sz w:val="24"/>
          <w:szCs w:val="24"/>
        </w:rPr>
        <w:t>首期结算日</w:t>
      </w:r>
      <w:r>
        <w:rPr>
          <w:rFonts w:hint="eastAsia"/>
          <w:sz w:val="24"/>
          <w:szCs w:val="24"/>
        </w:rPr>
        <w:t>，综合业务系统【清算-本币清算平台-本币全额-全额结算管理】界面中该笔跨机构借贷到期结算指令的【全额结算指令状态】为“待履行”。</w:t>
      </w:r>
    </w:p>
  </w:footnote>
  <w:footnote w:id="9">
    <w:p w14:paraId="18E1B3AA">
      <w:pPr>
        <w:pStyle w:val="14"/>
        <w:spacing w:line="240" w:lineRule="auto"/>
        <w:ind w:firstLine="0" w:firstLineChars="0"/>
        <w:jc w:val="both"/>
        <w:rPr>
          <w:sz w:val="24"/>
          <w:szCs w:val="24"/>
        </w:rPr>
      </w:pPr>
      <w:r>
        <w:rPr>
          <w:rStyle w:val="22"/>
          <w:sz w:val="24"/>
          <w:szCs w:val="24"/>
        </w:rPr>
        <w:footnoteRef/>
      </w:r>
      <w:r>
        <w:rPr>
          <w:rFonts w:hint="eastAsia"/>
          <w:sz w:val="24"/>
          <w:szCs w:val="24"/>
        </w:rPr>
        <w:t>跨机构借贷首期结算指令失败后，综合业务系统【清算-本币清算平台-本币全额-全额结算管理】界面不再生成该笔跨机构借贷首期解押指令及到期结算指令。</w:t>
      </w:r>
    </w:p>
  </w:footnote>
  <w:footnote w:id="10">
    <w:p w14:paraId="7DE207D2">
      <w:pPr>
        <w:pStyle w:val="14"/>
        <w:spacing w:line="240" w:lineRule="auto"/>
        <w:ind w:firstLine="0" w:firstLineChars="0"/>
        <w:jc w:val="both"/>
        <w:rPr>
          <w:sz w:val="24"/>
          <w:szCs w:val="24"/>
        </w:rPr>
      </w:pPr>
      <w:r>
        <w:rPr>
          <w:rStyle w:val="22"/>
          <w:sz w:val="24"/>
          <w:szCs w:val="24"/>
        </w:rPr>
        <w:footnoteRef/>
      </w:r>
      <w:r>
        <w:rPr>
          <w:sz w:val="24"/>
          <w:szCs w:val="24"/>
        </w:rPr>
        <w:t>对于上海清算所作为质押券托管机构时</w:t>
      </w:r>
      <w:r>
        <w:rPr>
          <w:rFonts w:hint="eastAsia"/>
          <w:sz w:val="24"/>
          <w:szCs w:val="24"/>
        </w:rPr>
        <w:t>，</w:t>
      </w:r>
      <w:r>
        <w:rPr>
          <w:sz w:val="24"/>
          <w:szCs w:val="24"/>
        </w:rPr>
        <w:t>截至首期结算日日终</w:t>
      </w:r>
      <w:r>
        <w:rPr>
          <w:rFonts w:hint="eastAsia"/>
          <w:sz w:val="24"/>
          <w:szCs w:val="24"/>
        </w:rPr>
        <w:t>，若</w:t>
      </w:r>
      <w:r>
        <w:rPr>
          <w:sz w:val="24"/>
          <w:szCs w:val="24"/>
        </w:rPr>
        <w:t>中央结算公司办理标的券过户</w:t>
      </w:r>
      <w:r>
        <w:rPr>
          <w:rFonts w:hint="eastAsia"/>
          <w:sz w:val="24"/>
          <w:szCs w:val="24"/>
        </w:rPr>
        <w:t>、</w:t>
      </w:r>
      <w:r>
        <w:rPr>
          <w:sz w:val="24"/>
          <w:szCs w:val="24"/>
        </w:rPr>
        <w:t>质押券</w:t>
      </w:r>
      <w:r>
        <w:rPr>
          <w:rFonts w:hint="eastAsia"/>
          <w:sz w:val="24"/>
          <w:szCs w:val="24"/>
        </w:rPr>
        <w:t>（若有）质押失败，借贷双方将在综合各业务系统【清算-本币清算平台-本币全额-全额结算管理】界面查询到首期结算指令、首期解押指令的【全额结算指令状态】均为“成功”，且不会生成对应的到期结算指令。</w:t>
      </w:r>
    </w:p>
  </w:footnote>
  <w:footnote w:id="11">
    <w:p w14:paraId="50DE8B09">
      <w:pPr>
        <w:pStyle w:val="14"/>
        <w:spacing w:line="240" w:lineRule="auto"/>
        <w:ind w:firstLine="0" w:firstLineChars="0"/>
        <w:jc w:val="both"/>
        <w:rPr>
          <w:sz w:val="24"/>
          <w:szCs w:val="24"/>
        </w:rPr>
      </w:pPr>
      <w:r>
        <w:rPr>
          <w:rStyle w:val="22"/>
          <w:sz w:val="24"/>
          <w:szCs w:val="24"/>
        </w:rPr>
        <w:footnoteRef/>
      </w:r>
      <w:r>
        <w:rPr>
          <w:rFonts w:hint="eastAsia"/>
          <w:sz w:val="24"/>
          <w:szCs w:val="24"/>
        </w:rPr>
        <w:t>借贷双方可登录综合业务系统客户端【清算-本币清算平台-本币全额-全额交易明细管理】界面实时进行查询。</w:t>
      </w:r>
    </w:p>
  </w:footnote>
  <w:footnote w:id="12">
    <w:p w14:paraId="11E25B58">
      <w:pPr>
        <w:pStyle w:val="14"/>
        <w:spacing w:line="240" w:lineRule="auto"/>
        <w:ind w:firstLine="0" w:firstLineChars="0"/>
        <w:jc w:val="both"/>
        <w:rPr>
          <w:sz w:val="24"/>
          <w:szCs w:val="24"/>
        </w:rPr>
      </w:pPr>
      <w:r>
        <w:rPr>
          <w:rStyle w:val="22"/>
          <w:sz w:val="24"/>
          <w:szCs w:val="24"/>
        </w:rPr>
        <w:footnoteRef/>
      </w:r>
      <w:r>
        <w:rPr>
          <w:rFonts w:hint="eastAsia"/>
          <w:sz w:val="24"/>
          <w:szCs w:val="24"/>
        </w:rPr>
        <w:t>借贷双方可登录综合业务系统客户端【清算-本币清算平台-本币全额-全额结算管理】界面实时进行查询。</w:t>
      </w:r>
    </w:p>
  </w:footnote>
  <w:footnote w:id="13">
    <w:p w14:paraId="2D5EA9F1">
      <w:pPr>
        <w:pStyle w:val="14"/>
        <w:spacing w:line="240" w:lineRule="auto"/>
        <w:ind w:firstLine="0" w:firstLineChars="0"/>
        <w:jc w:val="both"/>
        <w:rPr>
          <w:sz w:val="24"/>
          <w:szCs w:val="24"/>
        </w:rPr>
      </w:pPr>
      <w:r>
        <w:rPr>
          <w:rStyle w:val="22"/>
          <w:sz w:val="24"/>
          <w:szCs w:val="24"/>
        </w:rPr>
        <w:footnoteRef/>
      </w:r>
      <w:r>
        <w:rPr>
          <w:rFonts w:hint="eastAsia"/>
          <w:sz w:val="24"/>
          <w:szCs w:val="24"/>
        </w:rPr>
        <w:t>对于上海清算所作为标的券托管机构的场景，综合业务系统仅生成跨机构借贷首期结算指令及到期结算指令，不涉及首期解押指令的生成。</w:t>
      </w:r>
    </w:p>
  </w:footnote>
  <w:footnote w:id="14">
    <w:p w14:paraId="0CF4ECE2">
      <w:pPr>
        <w:pStyle w:val="14"/>
        <w:spacing w:line="240" w:lineRule="auto"/>
        <w:ind w:firstLine="0" w:firstLineChars="0"/>
        <w:jc w:val="both"/>
        <w:rPr>
          <w:sz w:val="24"/>
          <w:szCs w:val="24"/>
        </w:rPr>
      </w:pPr>
      <w:r>
        <w:rPr>
          <w:rStyle w:val="22"/>
          <w:sz w:val="24"/>
          <w:szCs w:val="24"/>
        </w:rPr>
        <w:footnoteRef/>
      </w:r>
      <w:r>
        <w:rPr>
          <w:sz w:val="24"/>
          <w:szCs w:val="24"/>
        </w:rPr>
        <w:t xml:space="preserve"> 即</w:t>
      </w:r>
      <w:r>
        <w:rPr>
          <w:rFonts w:hint="eastAsia"/>
          <w:sz w:val="24"/>
          <w:szCs w:val="24"/>
        </w:rPr>
        <w:t>《全国银行间债券市场跨托管机构债券借贷（人工处理）业务规则》（中债字〔2015〕48号文印发）附件4《跨托管机构债券借贷业务到期结算申请书》。</w:t>
      </w:r>
    </w:p>
  </w:footnote>
  <w:footnote w:id="15">
    <w:p w14:paraId="1E5894CE">
      <w:pPr>
        <w:pStyle w:val="14"/>
        <w:spacing w:line="240" w:lineRule="auto"/>
        <w:ind w:firstLine="0" w:firstLineChars="0"/>
        <w:jc w:val="both"/>
        <w:rPr>
          <w:sz w:val="24"/>
          <w:szCs w:val="24"/>
        </w:rPr>
      </w:pPr>
      <w:r>
        <w:rPr>
          <w:rStyle w:val="22"/>
          <w:sz w:val="24"/>
          <w:szCs w:val="24"/>
        </w:rPr>
        <w:footnoteRef/>
      </w:r>
      <w:r>
        <w:rPr>
          <w:rFonts w:hint="eastAsia"/>
          <w:sz w:val="24"/>
          <w:szCs w:val="24"/>
        </w:rPr>
        <w:t xml:space="preserve"> 即《全国银行间债券市场跨托管机构债券借贷（人工处理）业务规则》（中债字〔2015〕48号文印发）附件</w:t>
      </w:r>
      <w:r>
        <w:rPr>
          <w:sz w:val="24"/>
          <w:szCs w:val="24"/>
        </w:rPr>
        <w:t>6</w:t>
      </w:r>
      <w:r>
        <w:rPr>
          <w:rFonts w:hint="eastAsia"/>
          <w:sz w:val="24"/>
          <w:szCs w:val="24"/>
        </w:rPr>
        <w:t>《跨托管机构债券借贷业务现金交割申请书》。</w:t>
      </w:r>
    </w:p>
  </w:footnote>
  <w:footnote w:id="16">
    <w:p w14:paraId="048AD5FB">
      <w:pPr>
        <w:pStyle w:val="14"/>
        <w:spacing w:line="240" w:lineRule="auto"/>
        <w:ind w:firstLine="0" w:firstLineChars="0"/>
        <w:jc w:val="both"/>
        <w:rPr>
          <w:sz w:val="24"/>
          <w:szCs w:val="24"/>
        </w:rPr>
      </w:pPr>
      <w:r>
        <w:rPr>
          <w:rStyle w:val="22"/>
          <w:sz w:val="24"/>
          <w:szCs w:val="24"/>
        </w:rPr>
        <w:footnoteRef/>
      </w:r>
      <w:r>
        <w:rPr>
          <w:rFonts w:hint="eastAsia"/>
          <w:sz w:val="24"/>
          <w:szCs w:val="24"/>
        </w:rPr>
        <w:t>债券借贷现金交割资金划付通过上海清算所系统线上划付，结算方式应选择“BLDVP-券费对付”</w:t>
      </w:r>
    </w:p>
  </w:footnote>
  <w:footnote w:id="17">
    <w:p w14:paraId="61AC3619">
      <w:pPr>
        <w:pStyle w:val="14"/>
        <w:spacing w:line="240" w:lineRule="auto"/>
        <w:ind w:firstLine="0" w:firstLineChars="0"/>
        <w:rPr>
          <w:sz w:val="24"/>
          <w:szCs w:val="24"/>
        </w:rPr>
      </w:pPr>
      <w:r>
        <w:rPr>
          <w:rStyle w:val="22"/>
          <w:sz w:val="24"/>
          <w:szCs w:val="24"/>
        </w:rPr>
        <w:footnoteRef/>
      </w:r>
      <w:r>
        <w:rPr>
          <w:rFonts w:hint="eastAsia"/>
          <w:sz w:val="24"/>
          <w:szCs w:val="24"/>
        </w:rPr>
        <w:t>借贷成交数据指令确认操作、质押券置换</w:t>
      </w:r>
      <w:r>
        <w:rPr>
          <w:sz w:val="24"/>
          <w:szCs w:val="24"/>
        </w:rPr>
        <w:t>指令确认操作</w:t>
      </w:r>
      <w:r>
        <w:rPr>
          <w:rFonts w:hint="eastAsia"/>
          <w:sz w:val="24"/>
          <w:szCs w:val="24"/>
        </w:rPr>
        <w:t>、到期现金交割指令确认操作、到期逾期返售指令确认操作</w:t>
      </w:r>
      <w:r>
        <w:rPr>
          <w:sz w:val="24"/>
          <w:szCs w:val="24"/>
        </w:rPr>
        <w:t>的业务应急无需借贷双方同时在</w:t>
      </w:r>
      <w:r>
        <w:rPr>
          <w:rFonts w:hint="eastAsia"/>
          <w:sz w:val="24"/>
          <w:szCs w:val="24"/>
        </w:rPr>
        <w:t>相关业务应急指令书上盖章。</w:t>
      </w:r>
    </w:p>
  </w:footnote>
  <w:footnote w:id="18">
    <w:p w14:paraId="6DC7CEFA">
      <w:pPr>
        <w:pStyle w:val="14"/>
        <w:spacing w:line="240" w:lineRule="auto"/>
        <w:ind w:firstLine="0" w:firstLineChars="0"/>
        <w:jc w:val="both"/>
        <w:rPr>
          <w:sz w:val="24"/>
          <w:szCs w:val="24"/>
        </w:rPr>
      </w:pPr>
      <w:r>
        <w:rPr>
          <w:rStyle w:val="22"/>
          <w:sz w:val="24"/>
          <w:szCs w:val="24"/>
        </w:rPr>
        <w:footnoteRef/>
      </w:r>
      <w:r>
        <w:rPr>
          <w:rFonts w:hint="eastAsia"/>
          <w:sz w:val="24"/>
          <w:szCs w:val="24"/>
        </w:rPr>
        <w:t>详见公司官网首页&gt;&gt;产品与业务&gt;&gt;操作须知及指南&gt;&gt;应急业务处理，网页链接：</w:t>
      </w:r>
    </w:p>
    <w:p w14:paraId="682ED640">
      <w:pPr>
        <w:pStyle w:val="14"/>
        <w:spacing w:line="240" w:lineRule="auto"/>
        <w:ind w:firstLine="0" w:firstLineChars="0"/>
        <w:jc w:val="both"/>
        <w:rPr>
          <w:sz w:val="24"/>
          <w:szCs w:val="24"/>
        </w:rPr>
      </w:pPr>
      <w:r>
        <w:rPr>
          <w:sz w:val="24"/>
          <w:szCs w:val="24"/>
        </w:rPr>
        <w:t>https://www.shclearing.com.cn/cpyyw/czxzjzn/yjywcl/201901/t20190127_478639.html</w:t>
      </w:r>
      <w:r>
        <w:rPr>
          <w:rFonts w:hint="eastAsia"/>
          <w:sz w:val="24"/>
          <w:szCs w:val="24"/>
        </w:rPr>
        <w:t>（相关网页地址可能会不时更新，请从公司官网目录查询相关文件）</w:t>
      </w:r>
    </w:p>
  </w:footnote>
  <w:footnote w:id="19">
    <w:p w14:paraId="0D70BA1A">
      <w:pPr>
        <w:pStyle w:val="14"/>
        <w:spacing w:line="240" w:lineRule="auto"/>
        <w:ind w:firstLine="0" w:firstLineChars="0"/>
        <w:jc w:val="both"/>
        <w:rPr>
          <w:sz w:val="24"/>
          <w:szCs w:val="24"/>
        </w:rPr>
      </w:pPr>
      <w:r>
        <w:rPr>
          <w:rStyle w:val="22"/>
          <w:sz w:val="24"/>
          <w:szCs w:val="24"/>
        </w:rPr>
        <w:footnoteRef/>
      </w:r>
      <w:r>
        <w:rPr>
          <w:rFonts w:hint="eastAsia"/>
          <w:sz w:val="24"/>
          <w:szCs w:val="24"/>
        </w:rPr>
        <w:t>该应急指令书为《债券全额结算业务应急操作须知》附件</w:t>
      </w:r>
      <w:r>
        <w:rPr>
          <w:sz w:val="24"/>
          <w:szCs w:val="24"/>
        </w:rPr>
        <w:t>2</w:t>
      </w:r>
      <w:r>
        <w:rPr>
          <w:rFonts w:hint="eastAsia"/>
          <w:sz w:val="24"/>
          <w:szCs w:val="24"/>
        </w:rPr>
        <w:t>《二级市场交易确认应急指令书》（可从公司官网下载）。其中，应急指令书及成交单均需加盖公章或预留印鉴，成交单作为应急指令书附件需与应急指令书一并加盖骑缝章。</w:t>
      </w:r>
    </w:p>
  </w:footnote>
  <w:footnote w:id="20">
    <w:p w14:paraId="4F000528">
      <w:pPr>
        <w:pStyle w:val="14"/>
        <w:spacing w:line="240" w:lineRule="auto"/>
        <w:ind w:firstLine="0" w:firstLineChars="0"/>
        <w:jc w:val="both"/>
        <w:rPr>
          <w:sz w:val="24"/>
          <w:szCs w:val="24"/>
        </w:rPr>
      </w:pPr>
      <w:r>
        <w:rPr>
          <w:rStyle w:val="22"/>
          <w:sz w:val="24"/>
          <w:szCs w:val="24"/>
        </w:rPr>
        <w:footnoteRef/>
      </w:r>
      <w:r>
        <w:rPr>
          <w:rFonts w:hint="eastAsia"/>
          <w:sz w:val="24"/>
          <w:szCs w:val="24"/>
        </w:rPr>
        <w:t>该应急指令书为《债券全额结算业务应急操作须知》附件</w:t>
      </w:r>
      <w:r>
        <w:rPr>
          <w:sz w:val="24"/>
          <w:szCs w:val="24"/>
        </w:rPr>
        <w:t>6</w:t>
      </w:r>
      <w:r>
        <w:rPr>
          <w:rFonts w:hint="eastAsia"/>
          <w:sz w:val="24"/>
          <w:szCs w:val="24"/>
        </w:rPr>
        <w:t>《抵押品调整应急指令书》（可从公司官网下载）。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14756">
    <w:pPr>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5363D">
    <w:pPr>
      <w:ind w:left="640"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31D9B">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9FF996"/>
    <w:multiLevelType w:val="singleLevel"/>
    <w:tmpl w:val="AF9FF99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evenAndOddHeaders w:val="1"/>
  <w:drawingGridHorizontalSpacing w:val="160"/>
  <w:drawingGridVerticalSpacing w:val="435"/>
  <w:displayHorizontalDrawingGridEvery w:val="0"/>
  <w:characterSpacingControl w:val="compressPunctuation"/>
  <w:footnotePr>
    <w:footnote w:id="42"/>
    <w:footnote w:id="43"/>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6E8"/>
    <w:rsid w:val="00000053"/>
    <w:rsid w:val="00001E63"/>
    <w:rsid w:val="000065A7"/>
    <w:rsid w:val="00006879"/>
    <w:rsid w:val="00007E56"/>
    <w:rsid w:val="0002082F"/>
    <w:rsid w:val="00021B66"/>
    <w:rsid w:val="00022D73"/>
    <w:rsid w:val="00026E10"/>
    <w:rsid w:val="000315FF"/>
    <w:rsid w:val="00031CE3"/>
    <w:rsid w:val="00033F06"/>
    <w:rsid w:val="000375D3"/>
    <w:rsid w:val="0004040C"/>
    <w:rsid w:val="00040EA7"/>
    <w:rsid w:val="00041196"/>
    <w:rsid w:val="00041AA5"/>
    <w:rsid w:val="00045B04"/>
    <w:rsid w:val="000466BD"/>
    <w:rsid w:val="00046D50"/>
    <w:rsid w:val="000505A2"/>
    <w:rsid w:val="00055390"/>
    <w:rsid w:val="00060949"/>
    <w:rsid w:val="00060C21"/>
    <w:rsid w:val="00062BFD"/>
    <w:rsid w:val="00066033"/>
    <w:rsid w:val="00067DCA"/>
    <w:rsid w:val="00075A0E"/>
    <w:rsid w:val="00075A81"/>
    <w:rsid w:val="0008008D"/>
    <w:rsid w:val="00081374"/>
    <w:rsid w:val="00092FB0"/>
    <w:rsid w:val="000934EE"/>
    <w:rsid w:val="00093AE8"/>
    <w:rsid w:val="00093CD9"/>
    <w:rsid w:val="00094974"/>
    <w:rsid w:val="00096D7C"/>
    <w:rsid w:val="000A0E7E"/>
    <w:rsid w:val="000A13A3"/>
    <w:rsid w:val="000A6800"/>
    <w:rsid w:val="000A6DBA"/>
    <w:rsid w:val="000C0126"/>
    <w:rsid w:val="000C0FF3"/>
    <w:rsid w:val="000C2983"/>
    <w:rsid w:val="000C2EED"/>
    <w:rsid w:val="000C62B6"/>
    <w:rsid w:val="000C6559"/>
    <w:rsid w:val="000C7472"/>
    <w:rsid w:val="000D6200"/>
    <w:rsid w:val="000E07A6"/>
    <w:rsid w:val="000E0BD9"/>
    <w:rsid w:val="000E359A"/>
    <w:rsid w:val="000E4120"/>
    <w:rsid w:val="000E5CDC"/>
    <w:rsid w:val="000E666D"/>
    <w:rsid w:val="000E796E"/>
    <w:rsid w:val="000F4696"/>
    <w:rsid w:val="000F5901"/>
    <w:rsid w:val="000F6A89"/>
    <w:rsid w:val="00100BD3"/>
    <w:rsid w:val="00100D0D"/>
    <w:rsid w:val="0010382F"/>
    <w:rsid w:val="00105A04"/>
    <w:rsid w:val="0011103B"/>
    <w:rsid w:val="0011220F"/>
    <w:rsid w:val="00113F5D"/>
    <w:rsid w:val="0011752E"/>
    <w:rsid w:val="00120913"/>
    <w:rsid w:val="00120C9B"/>
    <w:rsid w:val="00120E77"/>
    <w:rsid w:val="00125946"/>
    <w:rsid w:val="00125BE5"/>
    <w:rsid w:val="0013117B"/>
    <w:rsid w:val="00132EB9"/>
    <w:rsid w:val="00136080"/>
    <w:rsid w:val="0013645E"/>
    <w:rsid w:val="0013757C"/>
    <w:rsid w:val="00137880"/>
    <w:rsid w:val="001412BE"/>
    <w:rsid w:val="00143A74"/>
    <w:rsid w:val="00144202"/>
    <w:rsid w:val="00144A23"/>
    <w:rsid w:val="0015011B"/>
    <w:rsid w:val="00153F6A"/>
    <w:rsid w:val="00154EA7"/>
    <w:rsid w:val="0015642F"/>
    <w:rsid w:val="00156D8B"/>
    <w:rsid w:val="00161D49"/>
    <w:rsid w:val="00165ABC"/>
    <w:rsid w:val="00167817"/>
    <w:rsid w:val="00171E3F"/>
    <w:rsid w:val="0017530E"/>
    <w:rsid w:val="001758A8"/>
    <w:rsid w:val="0018127A"/>
    <w:rsid w:val="001850EE"/>
    <w:rsid w:val="00187A68"/>
    <w:rsid w:val="00187B9D"/>
    <w:rsid w:val="00193A0F"/>
    <w:rsid w:val="00194138"/>
    <w:rsid w:val="00195E7A"/>
    <w:rsid w:val="00197FA1"/>
    <w:rsid w:val="001A0151"/>
    <w:rsid w:val="001A0D3B"/>
    <w:rsid w:val="001A4A72"/>
    <w:rsid w:val="001A6422"/>
    <w:rsid w:val="001A7A8E"/>
    <w:rsid w:val="001B075A"/>
    <w:rsid w:val="001B111A"/>
    <w:rsid w:val="001B1643"/>
    <w:rsid w:val="001B1FBA"/>
    <w:rsid w:val="001B428F"/>
    <w:rsid w:val="001B4B2F"/>
    <w:rsid w:val="001B700E"/>
    <w:rsid w:val="001C6409"/>
    <w:rsid w:val="001C6F1C"/>
    <w:rsid w:val="001C7632"/>
    <w:rsid w:val="001C7B57"/>
    <w:rsid w:val="001E23BF"/>
    <w:rsid w:val="001E28A0"/>
    <w:rsid w:val="001E2AC2"/>
    <w:rsid w:val="001E3706"/>
    <w:rsid w:val="001E42AF"/>
    <w:rsid w:val="001E4DE7"/>
    <w:rsid w:val="001E541F"/>
    <w:rsid w:val="001E5D72"/>
    <w:rsid w:val="001E673C"/>
    <w:rsid w:val="001F2768"/>
    <w:rsid w:val="001F6E95"/>
    <w:rsid w:val="0020081A"/>
    <w:rsid w:val="0020478B"/>
    <w:rsid w:val="00204B97"/>
    <w:rsid w:val="00206A58"/>
    <w:rsid w:val="00206FE1"/>
    <w:rsid w:val="002074BF"/>
    <w:rsid w:val="002143EF"/>
    <w:rsid w:val="00214672"/>
    <w:rsid w:val="00215306"/>
    <w:rsid w:val="002155F1"/>
    <w:rsid w:val="00216ACC"/>
    <w:rsid w:val="002247B2"/>
    <w:rsid w:val="00231B5A"/>
    <w:rsid w:val="0023528F"/>
    <w:rsid w:val="002362A5"/>
    <w:rsid w:val="00237757"/>
    <w:rsid w:val="00243560"/>
    <w:rsid w:val="00244E2B"/>
    <w:rsid w:val="00246573"/>
    <w:rsid w:val="00252010"/>
    <w:rsid w:val="00253C61"/>
    <w:rsid w:val="0025467F"/>
    <w:rsid w:val="00262AE3"/>
    <w:rsid w:val="00263593"/>
    <w:rsid w:val="00263857"/>
    <w:rsid w:val="00264655"/>
    <w:rsid w:val="0026513E"/>
    <w:rsid w:val="0027078F"/>
    <w:rsid w:val="00270AB4"/>
    <w:rsid w:val="00272F17"/>
    <w:rsid w:val="00275DA1"/>
    <w:rsid w:val="0027727B"/>
    <w:rsid w:val="00277AA2"/>
    <w:rsid w:val="00277C72"/>
    <w:rsid w:val="0028083B"/>
    <w:rsid w:val="0028166D"/>
    <w:rsid w:val="00281EE5"/>
    <w:rsid w:val="00283622"/>
    <w:rsid w:val="00284373"/>
    <w:rsid w:val="00287119"/>
    <w:rsid w:val="00287A12"/>
    <w:rsid w:val="00287A6D"/>
    <w:rsid w:val="00292DE2"/>
    <w:rsid w:val="002948C2"/>
    <w:rsid w:val="00297AE9"/>
    <w:rsid w:val="002A2D4E"/>
    <w:rsid w:val="002A5A9E"/>
    <w:rsid w:val="002B4700"/>
    <w:rsid w:val="002B52D5"/>
    <w:rsid w:val="002C0BBB"/>
    <w:rsid w:val="002C36FC"/>
    <w:rsid w:val="002C4497"/>
    <w:rsid w:val="002C5B35"/>
    <w:rsid w:val="002C7870"/>
    <w:rsid w:val="002D224D"/>
    <w:rsid w:val="002D4394"/>
    <w:rsid w:val="002D551C"/>
    <w:rsid w:val="002D7693"/>
    <w:rsid w:val="002E1F1A"/>
    <w:rsid w:val="002E26C9"/>
    <w:rsid w:val="002E54DE"/>
    <w:rsid w:val="002F0698"/>
    <w:rsid w:val="002F0C22"/>
    <w:rsid w:val="002F0F82"/>
    <w:rsid w:val="00300A0E"/>
    <w:rsid w:val="00302D01"/>
    <w:rsid w:val="00304051"/>
    <w:rsid w:val="003042E9"/>
    <w:rsid w:val="00304E23"/>
    <w:rsid w:val="00305A13"/>
    <w:rsid w:val="0031057E"/>
    <w:rsid w:val="00310DA0"/>
    <w:rsid w:val="00312324"/>
    <w:rsid w:val="00320485"/>
    <w:rsid w:val="003209C6"/>
    <w:rsid w:val="003249C3"/>
    <w:rsid w:val="00325092"/>
    <w:rsid w:val="003324B8"/>
    <w:rsid w:val="00336346"/>
    <w:rsid w:val="00337169"/>
    <w:rsid w:val="00337F9C"/>
    <w:rsid w:val="0034109F"/>
    <w:rsid w:val="003453DC"/>
    <w:rsid w:val="003477DA"/>
    <w:rsid w:val="00347A1F"/>
    <w:rsid w:val="003517F8"/>
    <w:rsid w:val="00360812"/>
    <w:rsid w:val="00360EB8"/>
    <w:rsid w:val="00362BEE"/>
    <w:rsid w:val="0036399D"/>
    <w:rsid w:val="003645FD"/>
    <w:rsid w:val="00365A13"/>
    <w:rsid w:val="00365C6A"/>
    <w:rsid w:val="003669CF"/>
    <w:rsid w:val="00367494"/>
    <w:rsid w:val="00371FDC"/>
    <w:rsid w:val="003737CD"/>
    <w:rsid w:val="0037396A"/>
    <w:rsid w:val="00373C97"/>
    <w:rsid w:val="00374E66"/>
    <w:rsid w:val="00375220"/>
    <w:rsid w:val="0037659F"/>
    <w:rsid w:val="0038066F"/>
    <w:rsid w:val="00381752"/>
    <w:rsid w:val="00381E4B"/>
    <w:rsid w:val="00383143"/>
    <w:rsid w:val="00383863"/>
    <w:rsid w:val="00383A33"/>
    <w:rsid w:val="00386587"/>
    <w:rsid w:val="003865A8"/>
    <w:rsid w:val="00392E1B"/>
    <w:rsid w:val="003939AD"/>
    <w:rsid w:val="0039568F"/>
    <w:rsid w:val="00396DA9"/>
    <w:rsid w:val="003A1A2D"/>
    <w:rsid w:val="003A7949"/>
    <w:rsid w:val="003B0870"/>
    <w:rsid w:val="003B0F57"/>
    <w:rsid w:val="003B3F1B"/>
    <w:rsid w:val="003B45D8"/>
    <w:rsid w:val="003B5897"/>
    <w:rsid w:val="003B5CA3"/>
    <w:rsid w:val="003B61FF"/>
    <w:rsid w:val="003B64C4"/>
    <w:rsid w:val="003C0D1B"/>
    <w:rsid w:val="003C3071"/>
    <w:rsid w:val="003C705C"/>
    <w:rsid w:val="003C7364"/>
    <w:rsid w:val="003D3D02"/>
    <w:rsid w:val="003D670E"/>
    <w:rsid w:val="003D7639"/>
    <w:rsid w:val="003E0297"/>
    <w:rsid w:val="003E0907"/>
    <w:rsid w:val="003E1BE3"/>
    <w:rsid w:val="003E1C9E"/>
    <w:rsid w:val="003E291D"/>
    <w:rsid w:val="003E2D6A"/>
    <w:rsid w:val="003E5308"/>
    <w:rsid w:val="003E7B8A"/>
    <w:rsid w:val="003E7BAA"/>
    <w:rsid w:val="003F0713"/>
    <w:rsid w:val="003F2C41"/>
    <w:rsid w:val="003F30A5"/>
    <w:rsid w:val="003F76E1"/>
    <w:rsid w:val="003F7C11"/>
    <w:rsid w:val="003F7C23"/>
    <w:rsid w:val="00412258"/>
    <w:rsid w:val="004174D6"/>
    <w:rsid w:val="00427A61"/>
    <w:rsid w:val="0043046A"/>
    <w:rsid w:val="00432E9F"/>
    <w:rsid w:val="00433F30"/>
    <w:rsid w:val="00435DF2"/>
    <w:rsid w:val="00435EBF"/>
    <w:rsid w:val="004408A9"/>
    <w:rsid w:val="004411CB"/>
    <w:rsid w:val="00442191"/>
    <w:rsid w:val="004460F2"/>
    <w:rsid w:val="004472C1"/>
    <w:rsid w:val="004474B0"/>
    <w:rsid w:val="00447BDB"/>
    <w:rsid w:val="00453BDC"/>
    <w:rsid w:val="004557B0"/>
    <w:rsid w:val="0045745A"/>
    <w:rsid w:val="00457E52"/>
    <w:rsid w:val="00460DBD"/>
    <w:rsid w:val="00461172"/>
    <w:rsid w:val="0046537D"/>
    <w:rsid w:val="00465CFE"/>
    <w:rsid w:val="004664B2"/>
    <w:rsid w:val="00470C76"/>
    <w:rsid w:val="004722E3"/>
    <w:rsid w:val="00472FF8"/>
    <w:rsid w:val="00475CBD"/>
    <w:rsid w:val="004762A0"/>
    <w:rsid w:val="004773D6"/>
    <w:rsid w:val="004775ED"/>
    <w:rsid w:val="0047762B"/>
    <w:rsid w:val="00480935"/>
    <w:rsid w:val="00485CED"/>
    <w:rsid w:val="004878DD"/>
    <w:rsid w:val="004964D2"/>
    <w:rsid w:val="004A4DBA"/>
    <w:rsid w:val="004A50D5"/>
    <w:rsid w:val="004A57E5"/>
    <w:rsid w:val="004A766A"/>
    <w:rsid w:val="004B13C5"/>
    <w:rsid w:val="004B6546"/>
    <w:rsid w:val="004B697C"/>
    <w:rsid w:val="004C05CD"/>
    <w:rsid w:val="004C2289"/>
    <w:rsid w:val="004C23C7"/>
    <w:rsid w:val="004C27C8"/>
    <w:rsid w:val="004D04E4"/>
    <w:rsid w:val="004D29AB"/>
    <w:rsid w:val="004D3C4A"/>
    <w:rsid w:val="004D5ED6"/>
    <w:rsid w:val="004D6127"/>
    <w:rsid w:val="004D653D"/>
    <w:rsid w:val="004E1D0B"/>
    <w:rsid w:val="004E2AD3"/>
    <w:rsid w:val="004E3048"/>
    <w:rsid w:val="004E3A1A"/>
    <w:rsid w:val="004E4D6A"/>
    <w:rsid w:val="004E7561"/>
    <w:rsid w:val="004F4FA9"/>
    <w:rsid w:val="00502E3E"/>
    <w:rsid w:val="0050332D"/>
    <w:rsid w:val="0050490D"/>
    <w:rsid w:val="0050525C"/>
    <w:rsid w:val="00513429"/>
    <w:rsid w:val="00513C5D"/>
    <w:rsid w:val="00514186"/>
    <w:rsid w:val="00515ED2"/>
    <w:rsid w:val="00520DA8"/>
    <w:rsid w:val="00521976"/>
    <w:rsid w:val="00522087"/>
    <w:rsid w:val="00524885"/>
    <w:rsid w:val="005253EE"/>
    <w:rsid w:val="00525A91"/>
    <w:rsid w:val="00525CF2"/>
    <w:rsid w:val="00534FE4"/>
    <w:rsid w:val="005371BC"/>
    <w:rsid w:val="005414CF"/>
    <w:rsid w:val="00541F98"/>
    <w:rsid w:val="00543135"/>
    <w:rsid w:val="00543B46"/>
    <w:rsid w:val="00546041"/>
    <w:rsid w:val="00547202"/>
    <w:rsid w:val="00547DD3"/>
    <w:rsid w:val="00550289"/>
    <w:rsid w:val="005505DF"/>
    <w:rsid w:val="00555CE1"/>
    <w:rsid w:val="00556C96"/>
    <w:rsid w:val="00557298"/>
    <w:rsid w:val="00557B75"/>
    <w:rsid w:val="00557E2A"/>
    <w:rsid w:val="005601ED"/>
    <w:rsid w:val="00560D9F"/>
    <w:rsid w:val="005615C6"/>
    <w:rsid w:val="00562BFD"/>
    <w:rsid w:val="005637F2"/>
    <w:rsid w:val="005663CE"/>
    <w:rsid w:val="00567A64"/>
    <w:rsid w:val="00572ABD"/>
    <w:rsid w:val="005777FD"/>
    <w:rsid w:val="00581BA4"/>
    <w:rsid w:val="005825E1"/>
    <w:rsid w:val="00584A10"/>
    <w:rsid w:val="0058662E"/>
    <w:rsid w:val="00587406"/>
    <w:rsid w:val="00590C10"/>
    <w:rsid w:val="00597EAB"/>
    <w:rsid w:val="005A118C"/>
    <w:rsid w:val="005B02BD"/>
    <w:rsid w:val="005B0956"/>
    <w:rsid w:val="005B592A"/>
    <w:rsid w:val="005B6055"/>
    <w:rsid w:val="005B60A5"/>
    <w:rsid w:val="005C0D9B"/>
    <w:rsid w:val="005C20DB"/>
    <w:rsid w:val="005C3A93"/>
    <w:rsid w:val="005C60C6"/>
    <w:rsid w:val="005D069E"/>
    <w:rsid w:val="005D2164"/>
    <w:rsid w:val="005D41A8"/>
    <w:rsid w:val="005D752F"/>
    <w:rsid w:val="005E2D0B"/>
    <w:rsid w:val="005E4629"/>
    <w:rsid w:val="005E575F"/>
    <w:rsid w:val="005E64BE"/>
    <w:rsid w:val="005E7218"/>
    <w:rsid w:val="005F407B"/>
    <w:rsid w:val="005F6879"/>
    <w:rsid w:val="005F7F32"/>
    <w:rsid w:val="006004CB"/>
    <w:rsid w:val="006024F2"/>
    <w:rsid w:val="00602FE4"/>
    <w:rsid w:val="006040B9"/>
    <w:rsid w:val="0060593B"/>
    <w:rsid w:val="0060631B"/>
    <w:rsid w:val="006065B4"/>
    <w:rsid w:val="006136CB"/>
    <w:rsid w:val="006142DA"/>
    <w:rsid w:val="006156EE"/>
    <w:rsid w:val="00616F02"/>
    <w:rsid w:val="006171C8"/>
    <w:rsid w:val="00620832"/>
    <w:rsid w:val="0062236F"/>
    <w:rsid w:val="0062369C"/>
    <w:rsid w:val="00623EC8"/>
    <w:rsid w:val="00626297"/>
    <w:rsid w:val="00626998"/>
    <w:rsid w:val="0063186A"/>
    <w:rsid w:val="006321F0"/>
    <w:rsid w:val="00632BBC"/>
    <w:rsid w:val="00633D2F"/>
    <w:rsid w:val="00633DE6"/>
    <w:rsid w:val="006374C1"/>
    <w:rsid w:val="006378FF"/>
    <w:rsid w:val="00637F89"/>
    <w:rsid w:val="00637FAE"/>
    <w:rsid w:val="00642C40"/>
    <w:rsid w:val="00643966"/>
    <w:rsid w:val="00647EFE"/>
    <w:rsid w:val="006503AE"/>
    <w:rsid w:val="00650F43"/>
    <w:rsid w:val="00651959"/>
    <w:rsid w:val="0065405C"/>
    <w:rsid w:val="0065739E"/>
    <w:rsid w:val="00657FE8"/>
    <w:rsid w:val="006637DE"/>
    <w:rsid w:val="00663CCC"/>
    <w:rsid w:val="00663E58"/>
    <w:rsid w:val="00666A5A"/>
    <w:rsid w:val="006671BA"/>
    <w:rsid w:val="00671B5D"/>
    <w:rsid w:val="00671C4F"/>
    <w:rsid w:val="0067200A"/>
    <w:rsid w:val="006730A2"/>
    <w:rsid w:val="00673441"/>
    <w:rsid w:val="00676AFA"/>
    <w:rsid w:val="00676F69"/>
    <w:rsid w:val="00683138"/>
    <w:rsid w:val="006858FC"/>
    <w:rsid w:val="006869B2"/>
    <w:rsid w:val="00690368"/>
    <w:rsid w:val="00691803"/>
    <w:rsid w:val="006948BC"/>
    <w:rsid w:val="00694BDF"/>
    <w:rsid w:val="006A0F75"/>
    <w:rsid w:val="006B30B7"/>
    <w:rsid w:val="006B36A1"/>
    <w:rsid w:val="006B5376"/>
    <w:rsid w:val="006C2F0A"/>
    <w:rsid w:val="006C7353"/>
    <w:rsid w:val="006D3E92"/>
    <w:rsid w:val="006D7A3D"/>
    <w:rsid w:val="006E0151"/>
    <w:rsid w:val="006E01F3"/>
    <w:rsid w:val="006E0A34"/>
    <w:rsid w:val="006E69FC"/>
    <w:rsid w:val="006F374C"/>
    <w:rsid w:val="006F54B7"/>
    <w:rsid w:val="00700BF2"/>
    <w:rsid w:val="00701A97"/>
    <w:rsid w:val="00701BB3"/>
    <w:rsid w:val="00701BFC"/>
    <w:rsid w:val="007049AD"/>
    <w:rsid w:val="00705DA9"/>
    <w:rsid w:val="00707670"/>
    <w:rsid w:val="00707E5C"/>
    <w:rsid w:val="00714040"/>
    <w:rsid w:val="007219C0"/>
    <w:rsid w:val="00723824"/>
    <w:rsid w:val="00725C52"/>
    <w:rsid w:val="00730F55"/>
    <w:rsid w:val="00731A10"/>
    <w:rsid w:val="0073278D"/>
    <w:rsid w:val="00743321"/>
    <w:rsid w:val="00745DB2"/>
    <w:rsid w:val="00751514"/>
    <w:rsid w:val="0075225E"/>
    <w:rsid w:val="00752909"/>
    <w:rsid w:val="00754E75"/>
    <w:rsid w:val="00755168"/>
    <w:rsid w:val="00755C8A"/>
    <w:rsid w:val="00762D4D"/>
    <w:rsid w:val="00766EB4"/>
    <w:rsid w:val="007744C7"/>
    <w:rsid w:val="00780C4A"/>
    <w:rsid w:val="00782CE4"/>
    <w:rsid w:val="007837AB"/>
    <w:rsid w:val="00783DAF"/>
    <w:rsid w:val="00784069"/>
    <w:rsid w:val="007910D2"/>
    <w:rsid w:val="00792AC0"/>
    <w:rsid w:val="007937F8"/>
    <w:rsid w:val="0079427A"/>
    <w:rsid w:val="00794ED3"/>
    <w:rsid w:val="00795BD3"/>
    <w:rsid w:val="00796628"/>
    <w:rsid w:val="00797683"/>
    <w:rsid w:val="007A07A3"/>
    <w:rsid w:val="007A138D"/>
    <w:rsid w:val="007A71DE"/>
    <w:rsid w:val="007A72C9"/>
    <w:rsid w:val="007B061D"/>
    <w:rsid w:val="007B1F70"/>
    <w:rsid w:val="007B2E20"/>
    <w:rsid w:val="007C0CAB"/>
    <w:rsid w:val="007C1449"/>
    <w:rsid w:val="007C1B70"/>
    <w:rsid w:val="007C2F9C"/>
    <w:rsid w:val="007C4465"/>
    <w:rsid w:val="007C4BD1"/>
    <w:rsid w:val="007C6B56"/>
    <w:rsid w:val="007C7909"/>
    <w:rsid w:val="007D0515"/>
    <w:rsid w:val="007D1CBE"/>
    <w:rsid w:val="007D302B"/>
    <w:rsid w:val="007D6D63"/>
    <w:rsid w:val="007D7B3F"/>
    <w:rsid w:val="007E2417"/>
    <w:rsid w:val="007F44B4"/>
    <w:rsid w:val="007F501A"/>
    <w:rsid w:val="007F509D"/>
    <w:rsid w:val="007F5B3A"/>
    <w:rsid w:val="00800683"/>
    <w:rsid w:val="00801985"/>
    <w:rsid w:val="00801D4B"/>
    <w:rsid w:val="00802063"/>
    <w:rsid w:val="00803025"/>
    <w:rsid w:val="008030F1"/>
    <w:rsid w:val="00804D1F"/>
    <w:rsid w:val="00811E38"/>
    <w:rsid w:val="008151B7"/>
    <w:rsid w:val="00816E7D"/>
    <w:rsid w:val="00821271"/>
    <w:rsid w:val="00821ABB"/>
    <w:rsid w:val="00824421"/>
    <w:rsid w:val="008257F8"/>
    <w:rsid w:val="008307C9"/>
    <w:rsid w:val="00831D9E"/>
    <w:rsid w:val="0083477A"/>
    <w:rsid w:val="00834DBC"/>
    <w:rsid w:val="00835A9D"/>
    <w:rsid w:val="0084227A"/>
    <w:rsid w:val="00847A6E"/>
    <w:rsid w:val="00847F82"/>
    <w:rsid w:val="00850545"/>
    <w:rsid w:val="00850C9A"/>
    <w:rsid w:val="008522AB"/>
    <w:rsid w:val="00852807"/>
    <w:rsid w:val="00854D78"/>
    <w:rsid w:val="00855DC4"/>
    <w:rsid w:val="00856767"/>
    <w:rsid w:val="00856A06"/>
    <w:rsid w:val="0086101D"/>
    <w:rsid w:val="008612E9"/>
    <w:rsid w:val="00863140"/>
    <w:rsid w:val="008632B4"/>
    <w:rsid w:val="00863852"/>
    <w:rsid w:val="00865530"/>
    <w:rsid w:val="008669D8"/>
    <w:rsid w:val="00867E40"/>
    <w:rsid w:val="008718C6"/>
    <w:rsid w:val="0088160A"/>
    <w:rsid w:val="008818FC"/>
    <w:rsid w:val="00882910"/>
    <w:rsid w:val="0088307A"/>
    <w:rsid w:val="00887282"/>
    <w:rsid w:val="0089036E"/>
    <w:rsid w:val="008922E0"/>
    <w:rsid w:val="008938E0"/>
    <w:rsid w:val="00894CA9"/>
    <w:rsid w:val="0089584C"/>
    <w:rsid w:val="008A26DE"/>
    <w:rsid w:val="008A3095"/>
    <w:rsid w:val="008A337A"/>
    <w:rsid w:val="008A4584"/>
    <w:rsid w:val="008A56CB"/>
    <w:rsid w:val="008A7934"/>
    <w:rsid w:val="008B0BAB"/>
    <w:rsid w:val="008B258C"/>
    <w:rsid w:val="008B424B"/>
    <w:rsid w:val="008B5397"/>
    <w:rsid w:val="008B62A8"/>
    <w:rsid w:val="008B74B1"/>
    <w:rsid w:val="008C1E31"/>
    <w:rsid w:val="008C2E06"/>
    <w:rsid w:val="008C2F62"/>
    <w:rsid w:val="008C3FC6"/>
    <w:rsid w:val="008C5BD6"/>
    <w:rsid w:val="008C7243"/>
    <w:rsid w:val="008D1184"/>
    <w:rsid w:val="008D2F10"/>
    <w:rsid w:val="008D365A"/>
    <w:rsid w:val="008E4A24"/>
    <w:rsid w:val="008E4FE5"/>
    <w:rsid w:val="008E6BCB"/>
    <w:rsid w:val="008E71B7"/>
    <w:rsid w:val="008F2981"/>
    <w:rsid w:val="008F3D0F"/>
    <w:rsid w:val="008F50E0"/>
    <w:rsid w:val="008F6B6A"/>
    <w:rsid w:val="008F7037"/>
    <w:rsid w:val="0090182B"/>
    <w:rsid w:val="00902E0B"/>
    <w:rsid w:val="00904FA0"/>
    <w:rsid w:val="0091428C"/>
    <w:rsid w:val="009147E7"/>
    <w:rsid w:val="00915C20"/>
    <w:rsid w:val="00920735"/>
    <w:rsid w:val="00922905"/>
    <w:rsid w:val="009230C1"/>
    <w:rsid w:val="009244BF"/>
    <w:rsid w:val="0093121F"/>
    <w:rsid w:val="00934AC4"/>
    <w:rsid w:val="00937EB6"/>
    <w:rsid w:val="0094391D"/>
    <w:rsid w:val="00944151"/>
    <w:rsid w:val="009478F8"/>
    <w:rsid w:val="00947CEF"/>
    <w:rsid w:val="0095196F"/>
    <w:rsid w:val="00953C86"/>
    <w:rsid w:val="0095463F"/>
    <w:rsid w:val="009601DA"/>
    <w:rsid w:val="00963FCC"/>
    <w:rsid w:val="009715AA"/>
    <w:rsid w:val="009729C6"/>
    <w:rsid w:val="00975BE8"/>
    <w:rsid w:val="00975EB5"/>
    <w:rsid w:val="009767B1"/>
    <w:rsid w:val="009767CB"/>
    <w:rsid w:val="00977AE8"/>
    <w:rsid w:val="009831C2"/>
    <w:rsid w:val="0098482D"/>
    <w:rsid w:val="00985000"/>
    <w:rsid w:val="00986B10"/>
    <w:rsid w:val="009871FB"/>
    <w:rsid w:val="009921E4"/>
    <w:rsid w:val="00992498"/>
    <w:rsid w:val="009936F1"/>
    <w:rsid w:val="009950CA"/>
    <w:rsid w:val="0099757F"/>
    <w:rsid w:val="009A140B"/>
    <w:rsid w:val="009A3D51"/>
    <w:rsid w:val="009A4894"/>
    <w:rsid w:val="009A542D"/>
    <w:rsid w:val="009A6444"/>
    <w:rsid w:val="009B02B2"/>
    <w:rsid w:val="009B248E"/>
    <w:rsid w:val="009B319F"/>
    <w:rsid w:val="009B76A6"/>
    <w:rsid w:val="009C12B4"/>
    <w:rsid w:val="009C25BF"/>
    <w:rsid w:val="009C2CD3"/>
    <w:rsid w:val="009C6089"/>
    <w:rsid w:val="009C797F"/>
    <w:rsid w:val="009D2FD9"/>
    <w:rsid w:val="009D3FA3"/>
    <w:rsid w:val="009D7C8C"/>
    <w:rsid w:val="009E1FA5"/>
    <w:rsid w:val="009E20B4"/>
    <w:rsid w:val="009E246F"/>
    <w:rsid w:val="009E2B66"/>
    <w:rsid w:val="009E2CD4"/>
    <w:rsid w:val="009E4902"/>
    <w:rsid w:val="009E518C"/>
    <w:rsid w:val="009E5B8E"/>
    <w:rsid w:val="009E5EF1"/>
    <w:rsid w:val="009F17A7"/>
    <w:rsid w:val="009F194B"/>
    <w:rsid w:val="009F2ECB"/>
    <w:rsid w:val="009F4948"/>
    <w:rsid w:val="009F64A3"/>
    <w:rsid w:val="009F6668"/>
    <w:rsid w:val="009F73A7"/>
    <w:rsid w:val="009F7A69"/>
    <w:rsid w:val="009F7D48"/>
    <w:rsid w:val="00A01C7F"/>
    <w:rsid w:val="00A03E11"/>
    <w:rsid w:val="00A03E22"/>
    <w:rsid w:val="00A0425F"/>
    <w:rsid w:val="00A04558"/>
    <w:rsid w:val="00A10D6F"/>
    <w:rsid w:val="00A11D18"/>
    <w:rsid w:val="00A16410"/>
    <w:rsid w:val="00A222AB"/>
    <w:rsid w:val="00A22EA8"/>
    <w:rsid w:val="00A257CA"/>
    <w:rsid w:val="00A33066"/>
    <w:rsid w:val="00A34337"/>
    <w:rsid w:val="00A34DEB"/>
    <w:rsid w:val="00A354CF"/>
    <w:rsid w:val="00A44F45"/>
    <w:rsid w:val="00A477AC"/>
    <w:rsid w:val="00A47BE0"/>
    <w:rsid w:val="00A5142B"/>
    <w:rsid w:val="00A53FB9"/>
    <w:rsid w:val="00A54220"/>
    <w:rsid w:val="00A55A2C"/>
    <w:rsid w:val="00A55EB8"/>
    <w:rsid w:val="00A565BA"/>
    <w:rsid w:val="00A56993"/>
    <w:rsid w:val="00A6222C"/>
    <w:rsid w:val="00A634D4"/>
    <w:rsid w:val="00A639E6"/>
    <w:rsid w:val="00A65712"/>
    <w:rsid w:val="00A65B04"/>
    <w:rsid w:val="00A708B3"/>
    <w:rsid w:val="00A71695"/>
    <w:rsid w:val="00A7424A"/>
    <w:rsid w:val="00A778AE"/>
    <w:rsid w:val="00A77A27"/>
    <w:rsid w:val="00A854B8"/>
    <w:rsid w:val="00A93C94"/>
    <w:rsid w:val="00AA34E2"/>
    <w:rsid w:val="00AA379B"/>
    <w:rsid w:val="00AA382F"/>
    <w:rsid w:val="00AA3FEE"/>
    <w:rsid w:val="00AA6C5E"/>
    <w:rsid w:val="00AA70E9"/>
    <w:rsid w:val="00AA7B3D"/>
    <w:rsid w:val="00AB14EF"/>
    <w:rsid w:val="00AB38B1"/>
    <w:rsid w:val="00AB4287"/>
    <w:rsid w:val="00AB77B0"/>
    <w:rsid w:val="00AC057E"/>
    <w:rsid w:val="00AC1847"/>
    <w:rsid w:val="00AC7788"/>
    <w:rsid w:val="00AD48CF"/>
    <w:rsid w:val="00AD6AF9"/>
    <w:rsid w:val="00AD7806"/>
    <w:rsid w:val="00AE1D11"/>
    <w:rsid w:val="00AE2A99"/>
    <w:rsid w:val="00AE490F"/>
    <w:rsid w:val="00AE6200"/>
    <w:rsid w:val="00AE6C27"/>
    <w:rsid w:val="00AF04BA"/>
    <w:rsid w:val="00AF058A"/>
    <w:rsid w:val="00AF2120"/>
    <w:rsid w:val="00AF70B6"/>
    <w:rsid w:val="00B11879"/>
    <w:rsid w:val="00B1572C"/>
    <w:rsid w:val="00B15AF1"/>
    <w:rsid w:val="00B16D03"/>
    <w:rsid w:val="00B22F8E"/>
    <w:rsid w:val="00B245BC"/>
    <w:rsid w:val="00B36C3F"/>
    <w:rsid w:val="00B40A49"/>
    <w:rsid w:val="00B46770"/>
    <w:rsid w:val="00B47C29"/>
    <w:rsid w:val="00B51067"/>
    <w:rsid w:val="00B51712"/>
    <w:rsid w:val="00B5211E"/>
    <w:rsid w:val="00B52DA3"/>
    <w:rsid w:val="00B538B7"/>
    <w:rsid w:val="00B53C55"/>
    <w:rsid w:val="00B57401"/>
    <w:rsid w:val="00B5780F"/>
    <w:rsid w:val="00B601E3"/>
    <w:rsid w:val="00B60F77"/>
    <w:rsid w:val="00B6203A"/>
    <w:rsid w:val="00B62487"/>
    <w:rsid w:val="00B62FEE"/>
    <w:rsid w:val="00B638B9"/>
    <w:rsid w:val="00B63B0A"/>
    <w:rsid w:val="00B644A9"/>
    <w:rsid w:val="00B75455"/>
    <w:rsid w:val="00B76472"/>
    <w:rsid w:val="00B76856"/>
    <w:rsid w:val="00B770BE"/>
    <w:rsid w:val="00B83328"/>
    <w:rsid w:val="00B872DA"/>
    <w:rsid w:val="00B961FD"/>
    <w:rsid w:val="00B965D7"/>
    <w:rsid w:val="00B972C3"/>
    <w:rsid w:val="00BA04B2"/>
    <w:rsid w:val="00BA44CA"/>
    <w:rsid w:val="00BA4E09"/>
    <w:rsid w:val="00BB1501"/>
    <w:rsid w:val="00BB2D70"/>
    <w:rsid w:val="00BB4105"/>
    <w:rsid w:val="00BC06CF"/>
    <w:rsid w:val="00BC50C6"/>
    <w:rsid w:val="00BD1CE8"/>
    <w:rsid w:val="00BD4876"/>
    <w:rsid w:val="00BD6328"/>
    <w:rsid w:val="00BE203F"/>
    <w:rsid w:val="00BF2C3F"/>
    <w:rsid w:val="00BF5C7E"/>
    <w:rsid w:val="00BF6312"/>
    <w:rsid w:val="00BF6BB0"/>
    <w:rsid w:val="00C01EDD"/>
    <w:rsid w:val="00C03C9C"/>
    <w:rsid w:val="00C0416C"/>
    <w:rsid w:val="00C045B1"/>
    <w:rsid w:val="00C048D3"/>
    <w:rsid w:val="00C070B4"/>
    <w:rsid w:val="00C12237"/>
    <w:rsid w:val="00C12284"/>
    <w:rsid w:val="00C13524"/>
    <w:rsid w:val="00C138C9"/>
    <w:rsid w:val="00C16082"/>
    <w:rsid w:val="00C1732D"/>
    <w:rsid w:val="00C17828"/>
    <w:rsid w:val="00C17DF9"/>
    <w:rsid w:val="00C21712"/>
    <w:rsid w:val="00C217CC"/>
    <w:rsid w:val="00C25703"/>
    <w:rsid w:val="00C32E4E"/>
    <w:rsid w:val="00C34916"/>
    <w:rsid w:val="00C3658F"/>
    <w:rsid w:val="00C40505"/>
    <w:rsid w:val="00C40B33"/>
    <w:rsid w:val="00C427FD"/>
    <w:rsid w:val="00C512F1"/>
    <w:rsid w:val="00C514AB"/>
    <w:rsid w:val="00C517EA"/>
    <w:rsid w:val="00C555BF"/>
    <w:rsid w:val="00C5686C"/>
    <w:rsid w:val="00C57443"/>
    <w:rsid w:val="00C6225F"/>
    <w:rsid w:val="00C629CD"/>
    <w:rsid w:val="00C63DD8"/>
    <w:rsid w:val="00C64BE0"/>
    <w:rsid w:val="00C65D38"/>
    <w:rsid w:val="00C71F37"/>
    <w:rsid w:val="00C76BE7"/>
    <w:rsid w:val="00C77ED4"/>
    <w:rsid w:val="00C80A00"/>
    <w:rsid w:val="00C8234C"/>
    <w:rsid w:val="00C82C8B"/>
    <w:rsid w:val="00C83A28"/>
    <w:rsid w:val="00C84616"/>
    <w:rsid w:val="00C8656D"/>
    <w:rsid w:val="00C86768"/>
    <w:rsid w:val="00C868E3"/>
    <w:rsid w:val="00C91092"/>
    <w:rsid w:val="00C93A2C"/>
    <w:rsid w:val="00C94AFD"/>
    <w:rsid w:val="00C95BD6"/>
    <w:rsid w:val="00C9608A"/>
    <w:rsid w:val="00C972D9"/>
    <w:rsid w:val="00C978DA"/>
    <w:rsid w:val="00CA4C01"/>
    <w:rsid w:val="00CA51AD"/>
    <w:rsid w:val="00CA7F8F"/>
    <w:rsid w:val="00CB2CA0"/>
    <w:rsid w:val="00CB35F1"/>
    <w:rsid w:val="00CB5579"/>
    <w:rsid w:val="00CB5724"/>
    <w:rsid w:val="00CB58F8"/>
    <w:rsid w:val="00CB79C3"/>
    <w:rsid w:val="00CC1479"/>
    <w:rsid w:val="00CC36BE"/>
    <w:rsid w:val="00CC3F39"/>
    <w:rsid w:val="00CD4810"/>
    <w:rsid w:val="00CD4D8A"/>
    <w:rsid w:val="00CD7F3A"/>
    <w:rsid w:val="00CE400F"/>
    <w:rsid w:val="00CE5650"/>
    <w:rsid w:val="00CE78A0"/>
    <w:rsid w:val="00CF034A"/>
    <w:rsid w:val="00CF3087"/>
    <w:rsid w:val="00CF3EDD"/>
    <w:rsid w:val="00CF53CC"/>
    <w:rsid w:val="00CF635F"/>
    <w:rsid w:val="00CF7670"/>
    <w:rsid w:val="00D0435E"/>
    <w:rsid w:val="00D10AC2"/>
    <w:rsid w:val="00D1293F"/>
    <w:rsid w:val="00D14258"/>
    <w:rsid w:val="00D14660"/>
    <w:rsid w:val="00D152DA"/>
    <w:rsid w:val="00D158F3"/>
    <w:rsid w:val="00D24E55"/>
    <w:rsid w:val="00D26CB7"/>
    <w:rsid w:val="00D31645"/>
    <w:rsid w:val="00D339FD"/>
    <w:rsid w:val="00D3454B"/>
    <w:rsid w:val="00D36D40"/>
    <w:rsid w:val="00D37CC5"/>
    <w:rsid w:val="00D426E8"/>
    <w:rsid w:val="00D44BD6"/>
    <w:rsid w:val="00D51FBB"/>
    <w:rsid w:val="00D572D4"/>
    <w:rsid w:val="00D643EA"/>
    <w:rsid w:val="00D71A16"/>
    <w:rsid w:val="00D73E46"/>
    <w:rsid w:val="00D749EF"/>
    <w:rsid w:val="00D74A60"/>
    <w:rsid w:val="00D74BF2"/>
    <w:rsid w:val="00D76135"/>
    <w:rsid w:val="00D76B3D"/>
    <w:rsid w:val="00D82B7F"/>
    <w:rsid w:val="00D8650A"/>
    <w:rsid w:val="00D97E2B"/>
    <w:rsid w:val="00DA3D9E"/>
    <w:rsid w:val="00DA497A"/>
    <w:rsid w:val="00DA73CB"/>
    <w:rsid w:val="00DA7DD6"/>
    <w:rsid w:val="00DB2701"/>
    <w:rsid w:val="00DB3E7F"/>
    <w:rsid w:val="00DB6C96"/>
    <w:rsid w:val="00DC0EF4"/>
    <w:rsid w:val="00DC25E1"/>
    <w:rsid w:val="00DC2B05"/>
    <w:rsid w:val="00DC5021"/>
    <w:rsid w:val="00DC66B6"/>
    <w:rsid w:val="00DC7FA1"/>
    <w:rsid w:val="00DD0558"/>
    <w:rsid w:val="00DD0DB6"/>
    <w:rsid w:val="00DD2BD4"/>
    <w:rsid w:val="00DD418D"/>
    <w:rsid w:val="00DD45D5"/>
    <w:rsid w:val="00DD5243"/>
    <w:rsid w:val="00DF0674"/>
    <w:rsid w:val="00DF2196"/>
    <w:rsid w:val="00DF44BC"/>
    <w:rsid w:val="00DF49F1"/>
    <w:rsid w:val="00E01D25"/>
    <w:rsid w:val="00E05056"/>
    <w:rsid w:val="00E05FAD"/>
    <w:rsid w:val="00E07196"/>
    <w:rsid w:val="00E107CB"/>
    <w:rsid w:val="00E11BEA"/>
    <w:rsid w:val="00E11F5B"/>
    <w:rsid w:val="00E1545C"/>
    <w:rsid w:val="00E156C2"/>
    <w:rsid w:val="00E17B4F"/>
    <w:rsid w:val="00E17CFA"/>
    <w:rsid w:val="00E20507"/>
    <w:rsid w:val="00E22FC8"/>
    <w:rsid w:val="00E245EE"/>
    <w:rsid w:val="00E24918"/>
    <w:rsid w:val="00E26820"/>
    <w:rsid w:val="00E269E2"/>
    <w:rsid w:val="00E27CFA"/>
    <w:rsid w:val="00E27DB1"/>
    <w:rsid w:val="00E329F6"/>
    <w:rsid w:val="00E33D7A"/>
    <w:rsid w:val="00E34C10"/>
    <w:rsid w:val="00E3586A"/>
    <w:rsid w:val="00E36C34"/>
    <w:rsid w:val="00E40AB6"/>
    <w:rsid w:val="00E41432"/>
    <w:rsid w:val="00E4475E"/>
    <w:rsid w:val="00E45077"/>
    <w:rsid w:val="00E45E92"/>
    <w:rsid w:val="00E515EE"/>
    <w:rsid w:val="00E52166"/>
    <w:rsid w:val="00E552C4"/>
    <w:rsid w:val="00E57245"/>
    <w:rsid w:val="00E57DBF"/>
    <w:rsid w:val="00E61C76"/>
    <w:rsid w:val="00E623BA"/>
    <w:rsid w:val="00E64730"/>
    <w:rsid w:val="00E73B19"/>
    <w:rsid w:val="00E74769"/>
    <w:rsid w:val="00E7483D"/>
    <w:rsid w:val="00E74C16"/>
    <w:rsid w:val="00E75275"/>
    <w:rsid w:val="00E77BD1"/>
    <w:rsid w:val="00E80EA7"/>
    <w:rsid w:val="00E81A4D"/>
    <w:rsid w:val="00E82A62"/>
    <w:rsid w:val="00E84094"/>
    <w:rsid w:val="00E912B8"/>
    <w:rsid w:val="00E9328C"/>
    <w:rsid w:val="00E93DCB"/>
    <w:rsid w:val="00E95E1B"/>
    <w:rsid w:val="00EA08DC"/>
    <w:rsid w:val="00EA1855"/>
    <w:rsid w:val="00EA761A"/>
    <w:rsid w:val="00EB2F81"/>
    <w:rsid w:val="00EB39E1"/>
    <w:rsid w:val="00EB4AEB"/>
    <w:rsid w:val="00EC18D5"/>
    <w:rsid w:val="00EC32E5"/>
    <w:rsid w:val="00EC43F9"/>
    <w:rsid w:val="00EC58EB"/>
    <w:rsid w:val="00EC62AB"/>
    <w:rsid w:val="00ED0E83"/>
    <w:rsid w:val="00ED1492"/>
    <w:rsid w:val="00ED626A"/>
    <w:rsid w:val="00ED7D44"/>
    <w:rsid w:val="00EE05DA"/>
    <w:rsid w:val="00EE5DC2"/>
    <w:rsid w:val="00EE7F16"/>
    <w:rsid w:val="00EF22CE"/>
    <w:rsid w:val="00EF26CF"/>
    <w:rsid w:val="00EF400C"/>
    <w:rsid w:val="00EF5884"/>
    <w:rsid w:val="00EF6DB0"/>
    <w:rsid w:val="00EF708C"/>
    <w:rsid w:val="00F03E3D"/>
    <w:rsid w:val="00F129D6"/>
    <w:rsid w:val="00F12A30"/>
    <w:rsid w:val="00F12BF3"/>
    <w:rsid w:val="00F12C3A"/>
    <w:rsid w:val="00F14691"/>
    <w:rsid w:val="00F2187E"/>
    <w:rsid w:val="00F222CD"/>
    <w:rsid w:val="00F22BAC"/>
    <w:rsid w:val="00F32EF9"/>
    <w:rsid w:val="00F334C2"/>
    <w:rsid w:val="00F35C82"/>
    <w:rsid w:val="00F36CD7"/>
    <w:rsid w:val="00F36EF4"/>
    <w:rsid w:val="00F40B71"/>
    <w:rsid w:val="00F44BC1"/>
    <w:rsid w:val="00F44E27"/>
    <w:rsid w:val="00F45661"/>
    <w:rsid w:val="00F45C66"/>
    <w:rsid w:val="00F469E3"/>
    <w:rsid w:val="00F473D0"/>
    <w:rsid w:val="00F53370"/>
    <w:rsid w:val="00F623CC"/>
    <w:rsid w:val="00F62EB0"/>
    <w:rsid w:val="00F67256"/>
    <w:rsid w:val="00F6737C"/>
    <w:rsid w:val="00F70557"/>
    <w:rsid w:val="00F71ACC"/>
    <w:rsid w:val="00F76A20"/>
    <w:rsid w:val="00F82480"/>
    <w:rsid w:val="00F82BBB"/>
    <w:rsid w:val="00F83D9F"/>
    <w:rsid w:val="00F8425D"/>
    <w:rsid w:val="00F85538"/>
    <w:rsid w:val="00F92ADB"/>
    <w:rsid w:val="00F93FEC"/>
    <w:rsid w:val="00FA185A"/>
    <w:rsid w:val="00FA2E02"/>
    <w:rsid w:val="00FA4E13"/>
    <w:rsid w:val="00FA5DDC"/>
    <w:rsid w:val="00FA733E"/>
    <w:rsid w:val="00FB09BA"/>
    <w:rsid w:val="00FB1317"/>
    <w:rsid w:val="00FB1F8B"/>
    <w:rsid w:val="00FB3558"/>
    <w:rsid w:val="00FB4BCC"/>
    <w:rsid w:val="00FC22BA"/>
    <w:rsid w:val="00FC2438"/>
    <w:rsid w:val="00FC3772"/>
    <w:rsid w:val="00FC58B4"/>
    <w:rsid w:val="00FC6931"/>
    <w:rsid w:val="00FC6D20"/>
    <w:rsid w:val="00FC6ECD"/>
    <w:rsid w:val="00FD19C8"/>
    <w:rsid w:val="00FD1CAE"/>
    <w:rsid w:val="00FD21E4"/>
    <w:rsid w:val="00FD3F26"/>
    <w:rsid w:val="00FD4CB9"/>
    <w:rsid w:val="00FD6A58"/>
    <w:rsid w:val="00FD78E6"/>
    <w:rsid w:val="00FD7A20"/>
    <w:rsid w:val="00FE1AFD"/>
    <w:rsid w:val="00FF6569"/>
    <w:rsid w:val="00FF6FE7"/>
    <w:rsid w:val="00FF7933"/>
    <w:rsid w:val="1FD6CCAF"/>
    <w:rsid w:val="1FF768F4"/>
    <w:rsid w:val="279F1156"/>
    <w:rsid w:val="29F6A9A1"/>
    <w:rsid w:val="2DFF0656"/>
    <w:rsid w:val="3397EE24"/>
    <w:rsid w:val="35B38694"/>
    <w:rsid w:val="35FA4C4A"/>
    <w:rsid w:val="35FD9DF4"/>
    <w:rsid w:val="3B703BA7"/>
    <w:rsid w:val="3E7F0D50"/>
    <w:rsid w:val="3F5F7DF5"/>
    <w:rsid w:val="3FD79F02"/>
    <w:rsid w:val="3FFFF86A"/>
    <w:rsid w:val="456F1C3E"/>
    <w:rsid w:val="465E1E2E"/>
    <w:rsid w:val="47BF984A"/>
    <w:rsid w:val="47FFD819"/>
    <w:rsid w:val="4FFB2549"/>
    <w:rsid w:val="52337429"/>
    <w:rsid w:val="53FBF4BE"/>
    <w:rsid w:val="55F7291C"/>
    <w:rsid w:val="57CD6827"/>
    <w:rsid w:val="57EB0382"/>
    <w:rsid w:val="5AFFD3E8"/>
    <w:rsid w:val="5B7B03FD"/>
    <w:rsid w:val="5DFC36CE"/>
    <w:rsid w:val="5EDB4F58"/>
    <w:rsid w:val="5EDFC8AD"/>
    <w:rsid w:val="5EFBF05B"/>
    <w:rsid w:val="5F06751D"/>
    <w:rsid w:val="5F3EB569"/>
    <w:rsid w:val="5F7FCF15"/>
    <w:rsid w:val="5FBFEC1E"/>
    <w:rsid w:val="5FDEC60B"/>
    <w:rsid w:val="5FFAC229"/>
    <w:rsid w:val="67FFBD4E"/>
    <w:rsid w:val="6F7CCEFB"/>
    <w:rsid w:val="6FF8D537"/>
    <w:rsid w:val="716710D3"/>
    <w:rsid w:val="75EF1A54"/>
    <w:rsid w:val="763D8E39"/>
    <w:rsid w:val="769BCD49"/>
    <w:rsid w:val="773E9A01"/>
    <w:rsid w:val="77B0DEDB"/>
    <w:rsid w:val="77EF1807"/>
    <w:rsid w:val="788FF9F9"/>
    <w:rsid w:val="7AFFCAC8"/>
    <w:rsid w:val="7B9331A2"/>
    <w:rsid w:val="7BAF616C"/>
    <w:rsid w:val="7BEE6E02"/>
    <w:rsid w:val="7BF72B87"/>
    <w:rsid w:val="7BF7D8A1"/>
    <w:rsid w:val="7BFBACEA"/>
    <w:rsid w:val="7D7411D3"/>
    <w:rsid w:val="7D7E5946"/>
    <w:rsid w:val="7DDF7A31"/>
    <w:rsid w:val="7F3FD034"/>
    <w:rsid w:val="7FBD31B0"/>
    <w:rsid w:val="7FCB9C17"/>
    <w:rsid w:val="7FCF499E"/>
    <w:rsid w:val="7FFE7368"/>
    <w:rsid w:val="7FFFB2B2"/>
    <w:rsid w:val="87D79FB3"/>
    <w:rsid w:val="9FBECA0C"/>
    <w:rsid w:val="9FEFFBC8"/>
    <w:rsid w:val="A7F9E350"/>
    <w:rsid w:val="ADFEBBDD"/>
    <w:rsid w:val="AEBFB977"/>
    <w:rsid w:val="AF71172A"/>
    <w:rsid w:val="B5EFCD97"/>
    <w:rsid w:val="B6F1CECA"/>
    <w:rsid w:val="B7735979"/>
    <w:rsid w:val="BABDE647"/>
    <w:rsid w:val="BAFDF063"/>
    <w:rsid w:val="BBFB69FC"/>
    <w:rsid w:val="BE9F9ED4"/>
    <w:rsid w:val="BF73F638"/>
    <w:rsid w:val="C1EC6F8F"/>
    <w:rsid w:val="CBF7D978"/>
    <w:rsid w:val="CFEEB850"/>
    <w:rsid w:val="D6F5AF12"/>
    <w:rsid w:val="DAFFA2BD"/>
    <w:rsid w:val="DDFF272D"/>
    <w:rsid w:val="DE7DDBA1"/>
    <w:rsid w:val="DEFF354F"/>
    <w:rsid w:val="DF7FD602"/>
    <w:rsid w:val="DFDFC7B5"/>
    <w:rsid w:val="DFF901CE"/>
    <w:rsid w:val="DFFC9180"/>
    <w:rsid w:val="E37FB53F"/>
    <w:rsid w:val="E6F7C148"/>
    <w:rsid w:val="E7F6848E"/>
    <w:rsid w:val="EEFF6A1B"/>
    <w:rsid w:val="EF3BF648"/>
    <w:rsid w:val="EF7F0859"/>
    <w:rsid w:val="EFBFD1C1"/>
    <w:rsid w:val="EFDE7B09"/>
    <w:rsid w:val="EFFBC66E"/>
    <w:rsid w:val="EFFE7F0B"/>
    <w:rsid w:val="F2FE2E50"/>
    <w:rsid w:val="F3F25D29"/>
    <w:rsid w:val="F5A59201"/>
    <w:rsid w:val="F76F28B9"/>
    <w:rsid w:val="F775C071"/>
    <w:rsid w:val="F7EE64C7"/>
    <w:rsid w:val="F96F5D00"/>
    <w:rsid w:val="F99FE2F1"/>
    <w:rsid w:val="FA734EEA"/>
    <w:rsid w:val="FB614BCA"/>
    <w:rsid w:val="FBDBF140"/>
    <w:rsid w:val="FC5EA5AB"/>
    <w:rsid w:val="FCFB9B85"/>
    <w:rsid w:val="FD72DA3A"/>
    <w:rsid w:val="FD9BC24A"/>
    <w:rsid w:val="FDAF6E2B"/>
    <w:rsid w:val="FEAD5521"/>
    <w:rsid w:val="FEFE58B1"/>
    <w:rsid w:val="FF07EAC8"/>
    <w:rsid w:val="FF6FA4C6"/>
    <w:rsid w:val="FFAF3737"/>
    <w:rsid w:val="FFBE6637"/>
    <w:rsid w:val="FFCDF1FA"/>
    <w:rsid w:val="FFDEBD0C"/>
    <w:rsid w:val="FFF728A5"/>
    <w:rsid w:val="FFF7636A"/>
    <w:rsid w:val="FFFA6A12"/>
    <w:rsid w:val="FFFFD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 w:hAnsi="Calibri" w:eastAsia="仿宋"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80" w:lineRule="exact"/>
      <w:ind w:firstLine="200" w:firstLineChars="200"/>
    </w:pPr>
    <w:rPr>
      <w:rFonts w:ascii="仿宋" w:hAnsi="Calibri" w:eastAsia="仿宋" w:cs="Times New Roman"/>
      <w:snapToGrid w:val="0"/>
      <w:sz w:val="32"/>
      <w:szCs w:val="32"/>
      <w:lang w:val="en-US" w:eastAsia="zh-CN" w:bidi="ar-SA"/>
    </w:rPr>
  </w:style>
  <w:style w:type="paragraph" w:styleId="2">
    <w:name w:val="heading 1"/>
    <w:basedOn w:val="1"/>
    <w:next w:val="1"/>
    <w:link w:val="23"/>
    <w:qFormat/>
    <w:uiPriority w:val="9"/>
    <w:pPr>
      <w:keepNext/>
      <w:keepLines/>
      <w:spacing w:before="340" w:after="330" w:line="578" w:lineRule="atLeast"/>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6" w:lineRule="atLeast"/>
      <w:outlineLvl w:val="1"/>
    </w:pPr>
    <w:rPr>
      <w:rFonts w:ascii="Calibri Light" w:hAnsi="Calibri Light" w:eastAsia="宋体"/>
      <w:b/>
      <w:bCs/>
    </w:rPr>
  </w:style>
  <w:style w:type="paragraph" w:styleId="4">
    <w:name w:val="heading 3"/>
    <w:basedOn w:val="1"/>
    <w:next w:val="1"/>
    <w:link w:val="25"/>
    <w:unhideWhenUsed/>
    <w:qFormat/>
    <w:uiPriority w:val="9"/>
    <w:pPr>
      <w:keepNext/>
      <w:keepLines/>
      <w:spacing w:before="260" w:after="260" w:line="416" w:lineRule="atLeast"/>
      <w:outlineLvl w:val="2"/>
    </w:pPr>
    <w:rPr>
      <w:b/>
      <w:bC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920"/>
    </w:pPr>
    <w:rPr>
      <w:rFonts w:ascii="Calibri" w:cs="Calibri"/>
      <w:sz w:val="18"/>
      <w:szCs w:val="18"/>
    </w:rPr>
  </w:style>
  <w:style w:type="paragraph" w:styleId="6">
    <w:name w:val="toc 5"/>
    <w:basedOn w:val="1"/>
    <w:next w:val="1"/>
    <w:unhideWhenUsed/>
    <w:qFormat/>
    <w:uiPriority w:val="39"/>
    <w:pPr>
      <w:ind w:left="1280"/>
    </w:pPr>
    <w:rPr>
      <w:rFonts w:ascii="Calibri" w:cs="Calibri"/>
      <w:sz w:val="18"/>
      <w:szCs w:val="18"/>
    </w:rPr>
  </w:style>
  <w:style w:type="paragraph" w:styleId="7">
    <w:name w:val="toc 3"/>
    <w:basedOn w:val="1"/>
    <w:next w:val="1"/>
    <w:unhideWhenUsed/>
    <w:qFormat/>
    <w:uiPriority w:val="39"/>
    <w:pPr>
      <w:ind w:left="640"/>
    </w:pPr>
    <w:rPr>
      <w:rFonts w:ascii="Calibri" w:cs="Calibri"/>
      <w:i/>
      <w:iCs/>
      <w:sz w:val="20"/>
      <w:szCs w:val="20"/>
    </w:rPr>
  </w:style>
  <w:style w:type="paragraph" w:styleId="8">
    <w:name w:val="toc 8"/>
    <w:basedOn w:val="1"/>
    <w:next w:val="1"/>
    <w:unhideWhenUsed/>
    <w:qFormat/>
    <w:uiPriority w:val="39"/>
    <w:pPr>
      <w:ind w:left="2240"/>
    </w:pPr>
    <w:rPr>
      <w:rFonts w:ascii="Calibri" w:cs="Calibri"/>
      <w:sz w:val="18"/>
      <w:szCs w:val="18"/>
    </w:rPr>
  </w:style>
  <w:style w:type="paragraph" w:styleId="9">
    <w:name w:val="Balloon Text"/>
    <w:basedOn w:val="1"/>
    <w:link w:val="26"/>
    <w:unhideWhenUsed/>
    <w:qFormat/>
    <w:uiPriority w:val="99"/>
    <w:pPr>
      <w:spacing w:line="240" w:lineRule="auto"/>
    </w:pPr>
    <w:rPr>
      <w:sz w:val="18"/>
      <w:szCs w:val="18"/>
    </w:rPr>
  </w:style>
  <w:style w:type="paragraph" w:styleId="10">
    <w:name w:val="footer"/>
    <w:basedOn w:val="1"/>
    <w:link w:val="27"/>
    <w:unhideWhenUsed/>
    <w:qFormat/>
    <w:uiPriority w:val="99"/>
    <w:pPr>
      <w:tabs>
        <w:tab w:val="center" w:pos="4153"/>
        <w:tab w:val="right" w:pos="8306"/>
      </w:tabs>
      <w:snapToGrid w:val="0"/>
      <w:spacing w:line="240" w:lineRule="atLeast"/>
    </w:pPr>
    <w:rPr>
      <w:sz w:val="18"/>
      <w:szCs w:val="18"/>
    </w:rPr>
  </w:style>
  <w:style w:type="paragraph" w:styleId="11">
    <w:name w:val="header"/>
    <w:basedOn w:val="1"/>
    <w:link w:val="28"/>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2">
    <w:name w:val="toc 1"/>
    <w:basedOn w:val="1"/>
    <w:next w:val="1"/>
    <w:unhideWhenUsed/>
    <w:qFormat/>
    <w:uiPriority w:val="39"/>
    <w:pPr>
      <w:tabs>
        <w:tab w:val="right" w:leader="dot" w:pos="8296"/>
      </w:tabs>
      <w:spacing w:line="240" w:lineRule="auto"/>
      <w:ind w:firstLine="480"/>
    </w:pPr>
    <w:rPr>
      <w:rFonts w:ascii="Calibri" w:cs="Calibri"/>
      <w:b/>
      <w:bCs/>
      <w:caps/>
      <w:sz w:val="20"/>
      <w:szCs w:val="20"/>
    </w:rPr>
  </w:style>
  <w:style w:type="paragraph" w:styleId="13">
    <w:name w:val="toc 4"/>
    <w:basedOn w:val="1"/>
    <w:next w:val="1"/>
    <w:unhideWhenUsed/>
    <w:qFormat/>
    <w:uiPriority w:val="39"/>
    <w:pPr>
      <w:ind w:left="960"/>
    </w:pPr>
    <w:rPr>
      <w:rFonts w:ascii="Calibri" w:cs="Calibri"/>
      <w:sz w:val="18"/>
      <w:szCs w:val="18"/>
    </w:rPr>
  </w:style>
  <w:style w:type="paragraph" w:styleId="14">
    <w:name w:val="footnote text"/>
    <w:basedOn w:val="1"/>
    <w:link w:val="29"/>
    <w:unhideWhenUsed/>
    <w:qFormat/>
    <w:uiPriority w:val="99"/>
    <w:pPr>
      <w:snapToGrid w:val="0"/>
    </w:pPr>
    <w:rPr>
      <w:sz w:val="18"/>
      <w:szCs w:val="18"/>
    </w:rPr>
  </w:style>
  <w:style w:type="paragraph" w:styleId="15">
    <w:name w:val="toc 6"/>
    <w:basedOn w:val="1"/>
    <w:next w:val="1"/>
    <w:unhideWhenUsed/>
    <w:qFormat/>
    <w:uiPriority w:val="39"/>
    <w:pPr>
      <w:ind w:left="1600"/>
    </w:pPr>
    <w:rPr>
      <w:rFonts w:ascii="Calibri" w:cs="Calibri"/>
      <w:sz w:val="18"/>
      <w:szCs w:val="18"/>
    </w:rPr>
  </w:style>
  <w:style w:type="paragraph" w:styleId="16">
    <w:name w:val="toc 2"/>
    <w:basedOn w:val="1"/>
    <w:next w:val="1"/>
    <w:unhideWhenUsed/>
    <w:qFormat/>
    <w:uiPriority w:val="39"/>
    <w:pPr>
      <w:ind w:left="320"/>
    </w:pPr>
    <w:rPr>
      <w:rFonts w:ascii="Calibri" w:cs="Calibri"/>
      <w:smallCaps/>
      <w:sz w:val="20"/>
      <w:szCs w:val="20"/>
    </w:rPr>
  </w:style>
  <w:style w:type="paragraph" w:styleId="17">
    <w:name w:val="toc 9"/>
    <w:basedOn w:val="1"/>
    <w:next w:val="1"/>
    <w:unhideWhenUsed/>
    <w:qFormat/>
    <w:uiPriority w:val="39"/>
    <w:pPr>
      <w:ind w:left="2560"/>
    </w:pPr>
    <w:rPr>
      <w:rFonts w:ascii="Calibri" w:cs="Calibri"/>
      <w:sz w:val="18"/>
      <w:szCs w:val="18"/>
    </w:rPr>
  </w:style>
  <w:style w:type="table" w:styleId="19">
    <w:name w:val="Table Grid"/>
    <w:basedOn w:val="18"/>
    <w:qFormat/>
    <w:uiPriority w:val="39"/>
    <w:pPr>
      <w:widowControl w:val="0"/>
      <w:jc w:val="both"/>
    </w:pPr>
    <w:rPr>
      <w:rFonts w:hAnsi="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unhideWhenUsed/>
    <w:qFormat/>
    <w:uiPriority w:val="99"/>
    <w:rPr>
      <w:color w:val="0563C1"/>
      <w:u w:val="single"/>
    </w:rPr>
  </w:style>
  <w:style w:type="character" w:styleId="22">
    <w:name w:val="footnote reference"/>
    <w:unhideWhenUsed/>
    <w:qFormat/>
    <w:uiPriority w:val="99"/>
    <w:rPr>
      <w:vertAlign w:val="superscript"/>
    </w:rPr>
  </w:style>
  <w:style w:type="character" w:customStyle="1" w:styleId="23">
    <w:name w:val="标题 1 Char"/>
    <w:link w:val="2"/>
    <w:qFormat/>
    <w:uiPriority w:val="9"/>
    <w:rPr>
      <w:b/>
      <w:bCs/>
      <w:kern w:val="44"/>
      <w:sz w:val="44"/>
      <w:szCs w:val="44"/>
    </w:rPr>
  </w:style>
  <w:style w:type="character" w:customStyle="1" w:styleId="24">
    <w:name w:val="标题 2 Char"/>
    <w:link w:val="3"/>
    <w:semiHidden/>
    <w:qFormat/>
    <w:uiPriority w:val="9"/>
    <w:rPr>
      <w:rFonts w:ascii="Calibri Light" w:hAnsi="Calibri Light" w:eastAsia="宋体" w:cs="Times New Roman"/>
      <w:b/>
      <w:bCs/>
    </w:rPr>
  </w:style>
  <w:style w:type="character" w:customStyle="1" w:styleId="25">
    <w:name w:val="标题 3 Char"/>
    <w:link w:val="4"/>
    <w:semiHidden/>
    <w:qFormat/>
    <w:uiPriority w:val="9"/>
    <w:rPr>
      <w:b/>
      <w:bCs/>
      <w:snapToGrid/>
      <w:sz w:val="32"/>
      <w:szCs w:val="32"/>
    </w:rPr>
  </w:style>
  <w:style w:type="character" w:customStyle="1" w:styleId="26">
    <w:name w:val="批注框文本 Char"/>
    <w:link w:val="9"/>
    <w:semiHidden/>
    <w:qFormat/>
    <w:uiPriority w:val="99"/>
    <w:rPr>
      <w:snapToGrid/>
      <w:sz w:val="18"/>
      <w:szCs w:val="18"/>
    </w:rPr>
  </w:style>
  <w:style w:type="character" w:customStyle="1" w:styleId="27">
    <w:name w:val="页脚 Char"/>
    <w:link w:val="10"/>
    <w:qFormat/>
    <w:uiPriority w:val="99"/>
    <w:rPr>
      <w:sz w:val="18"/>
      <w:szCs w:val="18"/>
    </w:rPr>
  </w:style>
  <w:style w:type="character" w:customStyle="1" w:styleId="28">
    <w:name w:val="页眉 Char"/>
    <w:link w:val="11"/>
    <w:qFormat/>
    <w:uiPriority w:val="99"/>
    <w:rPr>
      <w:sz w:val="18"/>
      <w:szCs w:val="18"/>
    </w:rPr>
  </w:style>
  <w:style w:type="character" w:customStyle="1" w:styleId="29">
    <w:name w:val="脚注文本 Char"/>
    <w:link w:val="14"/>
    <w:semiHidden/>
    <w:qFormat/>
    <w:uiPriority w:val="99"/>
    <w:rPr>
      <w:snapToGrid/>
      <w:sz w:val="18"/>
      <w:szCs w:val="18"/>
    </w:rPr>
  </w:style>
  <w:style w:type="paragraph" w:styleId="30">
    <w:name w:val="List Paragraph"/>
    <w:basedOn w:val="1"/>
    <w:qFormat/>
    <w:uiPriority w:val="99"/>
    <w:pPr>
      <w:ind w:firstLine="420"/>
      <w:jc w:val="both"/>
    </w:pPr>
    <w:rPr>
      <w:snapToGrid/>
      <w:kern w:val="2"/>
      <w:szCs w:val="22"/>
    </w:rPr>
  </w:style>
  <w:style w:type="paragraph" w:customStyle="1" w:styleId="31">
    <w:name w:val="一级标题"/>
    <w:basedOn w:val="2"/>
    <w:next w:val="1"/>
    <w:qFormat/>
    <w:uiPriority w:val="0"/>
    <w:pPr>
      <w:widowControl w:val="0"/>
      <w:spacing w:before="240" w:after="0" w:line="240" w:lineRule="auto"/>
      <w:ind w:firstLine="0" w:firstLineChars="0"/>
      <w:jc w:val="center"/>
    </w:pPr>
    <w:rPr>
      <w:rFonts w:ascii="黑体" w:hAnsi="黑体" w:eastAsia="黑体"/>
      <w:b w:val="0"/>
      <w:snapToGrid/>
      <w:sz w:val="32"/>
      <w:szCs w:val="32"/>
    </w:rPr>
  </w:style>
  <w:style w:type="paragraph" w:customStyle="1" w:styleId="32">
    <w:name w:val="二级标题"/>
    <w:basedOn w:val="3"/>
    <w:next w:val="1"/>
    <w:qFormat/>
    <w:uiPriority w:val="0"/>
    <w:pPr>
      <w:widowControl w:val="0"/>
      <w:spacing w:before="0" w:after="0" w:line="580" w:lineRule="exact"/>
      <w:jc w:val="both"/>
    </w:pPr>
    <w:rPr>
      <w:rFonts w:ascii="楷体" w:hAnsi="楷体" w:eastAsia="楷体"/>
      <w:b w:val="0"/>
      <w:snapToGrid/>
      <w:kern w:val="2"/>
      <w:lang w:val="en-GB"/>
    </w:rPr>
  </w:style>
  <w:style w:type="paragraph" w:customStyle="1" w:styleId="33">
    <w:name w:val="三级标题"/>
    <w:basedOn w:val="4"/>
    <w:next w:val="1"/>
    <w:link w:val="34"/>
    <w:qFormat/>
    <w:uiPriority w:val="0"/>
    <w:pPr>
      <w:widowControl w:val="0"/>
      <w:spacing w:before="0" w:after="0" w:line="580" w:lineRule="exact"/>
      <w:ind w:firstLine="567" w:firstLineChars="0"/>
      <w:jc w:val="both"/>
    </w:pPr>
    <w:rPr>
      <w:rFonts w:hAnsi="仿宋"/>
      <w:snapToGrid/>
      <w:color w:val="000000"/>
      <w:kern w:val="2"/>
      <w:szCs w:val="30"/>
      <w:lang w:val="en-GB"/>
    </w:rPr>
  </w:style>
  <w:style w:type="character" w:customStyle="1" w:styleId="34">
    <w:name w:val="三级标题 字符"/>
    <w:link w:val="33"/>
    <w:qFormat/>
    <w:uiPriority w:val="0"/>
    <w:rPr>
      <w:rFonts w:hAnsi="仿宋"/>
      <w:b/>
      <w:bCs/>
      <w:color w:val="000000"/>
      <w:kern w:val="2"/>
      <w:sz w:val="32"/>
      <w:szCs w:val="30"/>
      <w:lang w:val="en-GB"/>
    </w:rPr>
  </w:style>
  <w:style w:type="paragraph" w:customStyle="1" w:styleId="35">
    <w:name w:val="_Style 34"/>
    <w:basedOn w:val="2"/>
    <w:next w:val="1"/>
    <w:unhideWhenUsed/>
    <w:qFormat/>
    <w:uiPriority w:val="39"/>
    <w:pPr>
      <w:spacing w:before="240" w:after="0" w:line="259" w:lineRule="auto"/>
      <w:ind w:firstLine="0" w:firstLineChars="0"/>
      <w:outlineLvl w:val="9"/>
    </w:pPr>
    <w:rPr>
      <w:rFonts w:ascii="Calibri Light" w:hAnsi="Calibri Light" w:eastAsia="宋体"/>
      <w:b w:val="0"/>
      <w:bCs w:val="0"/>
      <w:snapToGrid/>
      <w:color w:val="2E74B5"/>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38</Pages>
  <Words>2559</Words>
  <Characters>14590</Characters>
  <Lines>121</Lines>
  <Paragraphs>34</Paragraphs>
  <TotalTime>64</TotalTime>
  <ScaleCrop>false</ScaleCrop>
  <LinksUpToDate>false</LinksUpToDate>
  <CharactersWithSpaces>17115</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2026-06-02T09:21:00Z</dcterms:created>
  <dc:creator>何松洋</dc:creator>
  <cp:lastModifiedBy>zhangfan</cp:lastModifiedBy>
  <cp:lastPrinted>2026-03-07T19:13:00Z</cp:lastPrinted>
  <dcterms:modified xsi:type="dcterms:W3CDTF">2026-07-17T17:37:59Z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B028D28BB377F15A5840B169195D71FB_43</vt:lpwstr>
  </property>
</Properties>
</file>