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1C9D" w:rsidRDefault="00B678AF">
      <w:pPr>
        <w:adjustRightInd w:val="0"/>
        <w:snapToGrid w:val="0"/>
        <w:spacing w:line="580" w:lineRule="exact"/>
        <w:jc w:val="left"/>
        <w:rPr>
          <w:rFonts w:ascii="黑体" w:eastAsia="黑体" w:hAnsi="黑体" w:cs="宋体"/>
          <w:sz w:val="32"/>
          <w:szCs w:val="32"/>
          <w:lang w:bidi="ar"/>
        </w:rPr>
      </w:pPr>
      <w:bookmarkStart w:id="0" w:name="Content"/>
      <w:r>
        <w:rPr>
          <w:rFonts w:ascii="黑体" w:eastAsia="黑体" w:hAnsi="黑体" w:cs="宋体" w:hint="eastAsia"/>
          <w:sz w:val="32"/>
          <w:szCs w:val="32"/>
          <w:lang w:bidi="ar"/>
        </w:rPr>
        <w:t>附件4</w:t>
      </w:r>
    </w:p>
    <w:p w:rsidR="004A1C9D" w:rsidRDefault="004A1C9D">
      <w:pPr>
        <w:adjustRightInd w:val="0"/>
        <w:snapToGrid w:val="0"/>
        <w:spacing w:line="580" w:lineRule="exact"/>
        <w:jc w:val="center"/>
        <w:rPr>
          <w:rFonts w:ascii="宋体" w:eastAsia="宋体" w:hAnsi="宋体" w:cs="宋体"/>
          <w:b/>
          <w:sz w:val="44"/>
          <w:szCs w:val="44"/>
          <w:lang w:bidi="ar"/>
        </w:rPr>
      </w:pPr>
    </w:p>
    <w:p w:rsidR="00B678AF" w:rsidRDefault="00B678AF">
      <w:pPr>
        <w:adjustRightInd w:val="0"/>
        <w:snapToGrid w:val="0"/>
        <w:spacing w:line="580" w:lineRule="exact"/>
        <w:jc w:val="center"/>
        <w:rPr>
          <w:rFonts w:ascii="宋体" w:eastAsia="宋体" w:hAnsi="宋体" w:cs="宋体"/>
          <w:b/>
          <w:sz w:val="44"/>
          <w:szCs w:val="44"/>
          <w:lang w:bidi="ar"/>
        </w:rPr>
      </w:pPr>
      <w:r>
        <w:rPr>
          <w:rFonts w:ascii="宋体" w:eastAsia="宋体" w:hAnsi="宋体" w:cs="宋体" w:hint="eastAsia"/>
          <w:b/>
          <w:sz w:val="44"/>
          <w:szCs w:val="44"/>
          <w:lang w:bidi="ar"/>
        </w:rPr>
        <w:t>银行间市场中央债券借贷业务实施细则</w:t>
      </w:r>
    </w:p>
    <w:p w:rsidR="004A1C9D" w:rsidRDefault="00B678AF">
      <w:pPr>
        <w:adjustRightInd w:val="0"/>
        <w:snapToGrid w:val="0"/>
        <w:spacing w:line="580" w:lineRule="exact"/>
        <w:jc w:val="center"/>
        <w:rPr>
          <w:rFonts w:ascii="宋体" w:eastAsia="宋体" w:hAnsi="宋体" w:cs="宋体"/>
          <w:b/>
          <w:sz w:val="44"/>
          <w:szCs w:val="44"/>
          <w:lang w:bidi="ar"/>
        </w:rPr>
      </w:pPr>
      <w:r>
        <w:rPr>
          <w:rFonts w:ascii="宋体" w:eastAsia="宋体" w:hAnsi="宋体" w:cs="宋体" w:hint="eastAsia"/>
          <w:b/>
          <w:sz w:val="44"/>
          <w:szCs w:val="44"/>
          <w:lang w:bidi="ar"/>
        </w:rPr>
        <w:t>（试行）</w:t>
      </w:r>
    </w:p>
    <w:p w:rsidR="004A1C9D" w:rsidRDefault="00B678AF">
      <w:pPr>
        <w:adjustRightInd w:val="0"/>
        <w:snapToGrid w:val="0"/>
        <w:spacing w:line="580" w:lineRule="exact"/>
        <w:jc w:val="center"/>
        <w:rPr>
          <w:rFonts w:ascii="宋体" w:eastAsia="宋体" w:hAnsi="宋体" w:cs="宋体"/>
          <w:b/>
          <w:sz w:val="44"/>
          <w:szCs w:val="44"/>
          <w:lang w:bidi="ar"/>
        </w:rPr>
      </w:pPr>
      <w:r>
        <w:rPr>
          <w:rFonts w:ascii="宋体" w:eastAsia="宋体" w:hAnsi="宋体" w:cs="宋体" w:hint="eastAsia"/>
          <w:b/>
          <w:sz w:val="44"/>
          <w:szCs w:val="44"/>
          <w:lang w:bidi="ar"/>
        </w:rPr>
        <w:t>（</w:t>
      </w:r>
      <w:r>
        <w:rPr>
          <w:rFonts w:ascii="宋体" w:eastAsia="宋体" w:hAnsi="宋体" w:cs="宋体" w:hint="eastAsia"/>
          <w:b/>
          <w:sz w:val="44"/>
          <w:szCs w:val="44"/>
          <w:lang w:bidi="ar"/>
        </w:rPr>
        <w:t>2023</w:t>
      </w:r>
      <w:r>
        <w:rPr>
          <w:rFonts w:ascii="宋体" w:eastAsia="宋体" w:hAnsi="宋体" w:cs="宋体" w:hint="eastAsia"/>
          <w:b/>
          <w:sz w:val="44"/>
          <w:szCs w:val="44"/>
          <w:lang w:bidi="ar"/>
        </w:rPr>
        <w:t>年12</w:t>
      </w:r>
      <w:r>
        <w:rPr>
          <w:rFonts w:ascii="宋体" w:eastAsia="宋体" w:hAnsi="宋体" w:cs="宋体" w:hint="eastAsia"/>
          <w:b/>
          <w:sz w:val="44"/>
          <w:szCs w:val="44"/>
          <w:lang w:bidi="ar"/>
        </w:rPr>
        <w:t>月发布）</w:t>
      </w:r>
    </w:p>
    <w:p w:rsidR="004A1C9D" w:rsidRDefault="004A1C9D">
      <w:pPr>
        <w:adjustRightInd w:val="0"/>
        <w:snapToGrid w:val="0"/>
        <w:spacing w:line="580" w:lineRule="exact"/>
        <w:rPr>
          <w:rFonts w:ascii="仿宋" w:eastAsia="仿宋" w:hAnsi="仿宋" w:cs="仿宋"/>
          <w:sz w:val="36"/>
          <w:szCs w:val="32"/>
          <w:lang w:bidi="ar"/>
        </w:rPr>
      </w:pPr>
    </w:p>
    <w:bookmarkEnd w:id="0"/>
    <w:p w:rsidR="004A1C9D" w:rsidRDefault="00B678AF">
      <w:pPr>
        <w:pStyle w:val="a6"/>
        <w:numPr>
          <w:ilvl w:val="0"/>
          <w:numId w:val="1"/>
        </w:numPr>
        <w:adjustRightInd w:val="0"/>
        <w:snapToGrid w:val="0"/>
        <w:spacing w:line="580" w:lineRule="exact"/>
        <w:ind w:left="0" w:firstLine="640"/>
        <w:rPr>
          <w:rFonts w:ascii="仿宋" w:eastAsia="仿宋" w:hAnsi="仿宋" w:cs="仿宋_GB2312"/>
          <w:color w:val="000000"/>
          <w:kern w:val="0"/>
          <w:sz w:val="32"/>
          <w:szCs w:val="30"/>
        </w:rPr>
      </w:pPr>
      <w:r>
        <w:rPr>
          <w:rFonts w:ascii="仿宋" w:eastAsia="仿宋" w:hAnsi="仿宋" w:cs="仿宋_GB2312" w:hint="eastAsia"/>
          <w:color w:val="000000"/>
          <w:kern w:val="0"/>
          <w:sz w:val="32"/>
          <w:szCs w:val="30"/>
        </w:rPr>
        <w:t>为规范银行间债券市场中央债券借贷业务，维护相关参与主体合法权益，全国银行间同业拆借中心（以下简称同业拆借中心）和银行间市场清算所股份有限公司</w:t>
      </w:r>
      <w:bookmarkStart w:id="1" w:name="_GoBack"/>
      <w:bookmarkEnd w:id="1"/>
      <w:r>
        <w:rPr>
          <w:rFonts w:ascii="仿宋" w:eastAsia="仿宋" w:hAnsi="仿宋" w:cs="仿宋_GB2312" w:hint="eastAsia"/>
          <w:color w:val="000000"/>
          <w:kern w:val="0"/>
          <w:sz w:val="32"/>
          <w:szCs w:val="30"/>
        </w:rPr>
        <w:t>（以下简称上海清算所）根据《银行间债券市场债券借贷业务管理办法》（中国人民银行公告〔</w:t>
      </w:r>
      <w:r>
        <w:rPr>
          <w:rFonts w:ascii="仿宋" w:eastAsia="仿宋" w:hAnsi="仿宋" w:cs="仿宋_GB2312" w:hint="eastAsia"/>
          <w:color w:val="000000"/>
          <w:kern w:val="0"/>
          <w:sz w:val="32"/>
          <w:szCs w:val="30"/>
        </w:rPr>
        <w:t>2022</w:t>
      </w:r>
      <w:r>
        <w:rPr>
          <w:rFonts w:ascii="仿宋" w:eastAsia="仿宋" w:hAnsi="仿宋" w:cs="仿宋_GB2312" w:hint="eastAsia"/>
          <w:color w:val="000000"/>
          <w:kern w:val="0"/>
          <w:sz w:val="32"/>
          <w:szCs w:val="30"/>
        </w:rPr>
        <w:t>〕第</w:t>
      </w:r>
      <w:r>
        <w:rPr>
          <w:rFonts w:ascii="仿宋" w:eastAsia="仿宋" w:hAnsi="仿宋" w:cs="仿宋_GB2312" w:hint="eastAsia"/>
          <w:color w:val="000000"/>
          <w:kern w:val="0"/>
          <w:sz w:val="32"/>
          <w:szCs w:val="30"/>
        </w:rPr>
        <w:t>1</w:t>
      </w:r>
      <w:r>
        <w:rPr>
          <w:rFonts w:ascii="仿宋" w:eastAsia="仿宋" w:hAnsi="仿宋" w:cs="仿宋_GB2312" w:hint="eastAsia"/>
          <w:color w:val="000000"/>
          <w:kern w:val="0"/>
          <w:sz w:val="32"/>
          <w:szCs w:val="30"/>
        </w:rPr>
        <w:t>号）等相关规定，共同制定本实施细则。</w:t>
      </w:r>
    </w:p>
    <w:p w:rsidR="004A1C9D" w:rsidRDefault="00B678AF">
      <w:pPr>
        <w:pStyle w:val="a6"/>
        <w:numPr>
          <w:ilvl w:val="0"/>
          <w:numId w:val="1"/>
        </w:numPr>
        <w:adjustRightInd w:val="0"/>
        <w:snapToGrid w:val="0"/>
        <w:spacing w:line="580" w:lineRule="exact"/>
        <w:ind w:left="0" w:firstLine="640"/>
        <w:rPr>
          <w:rFonts w:ascii="仿宋" w:eastAsia="仿宋" w:hAnsi="仿宋" w:cs="仿宋_GB2312"/>
          <w:color w:val="000000"/>
          <w:kern w:val="0"/>
          <w:sz w:val="32"/>
          <w:szCs w:val="30"/>
        </w:rPr>
      </w:pPr>
      <w:r>
        <w:rPr>
          <w:rFonts w:ascii="仿宋" w:eastAsia="仿宋" w:hAnsi="仿宋" w:cs="仿宋_GB2312" w:hint="eastAsia"/>
          <w:color w:val="000000"/>
          <w:kern w:val="0"/>
          <w:sz w:val="32"/>
          <w:szCs w:val="30"/>
        </w:rPr>
        <w:t>中央债券</w:t>
      </w:r>
      <w:r>
        <w:rPr>
          <w:rFonts w:ascii="仿宋" w:eastAsia="仿宋" w:hAnsi="仿宋" w:cs="仿宋_GB2312"/>
          <w:color w:val="000000"/>
          <w:kern w:val="0"/>
          <w:sz w:val="32"/>
          <w:szCs w:val="30"/>
        </w:rPr>
        <w:t>借贷</w:t>
      </w:r>
      <w:r>
        <w:rPr>
          <w:rFonts w:ascii="仿宋" w:eastAsia="仿宋" w:hAnsi="仿宋" w:cs="仿宋_GB2312" w:hint="eastAsia"/>
          <w:color w:val="000000"/>
          <w:kern w:val="0"/>
          <w:sz w:val="32"/>
          <w:szCs w:val="30"/>
        </w:rPr>
        <w:t>业务是采取中央对手</w:t>
      </w:r>
      <w:proofErr w:type="gramStart"/>
      <w:r>
        <w:rPr>
          <w:rFonts w:ascii="仿宋" w:eastAsia="仿宋" w:hAnsi="仿宋" w:cs="仿宋_GB2312" w:hint="eastAsia"/>
          <w:color w:val="000000"/>
          <w:kern w:val="0"/>
          <w:sz w:val="32"/>
          <w:szCs w:val="30"/>
        </w:rPr>
        <w:t>方机制</w:t>
      </w:r>
      <w:proofErr w:type="gramEnd"/>
      <w:r>
        <w:rPr>
          <w:rFonts w:ascii="仿宋" w:eastAsia="仿宋" w:hAnsi="仿宋" w:cs="仿宋_GB2312" w:hint="eastAsia"/>
          <w:color w:val="000000"/>
          <w:kern w:val="0"/>
          <w:sz w:val="32"/>
          <w:szCs w:val="30"/>
        </w:rPr>
        <w:t>的集中债券借贷业务，是为</w:t>
      </w:r>
      <w:r>
        <w:rPr>
          <w:rFonts w:ascii="仿宋" w:eastAsia="仿宋" w:hAnsi="仿宋" w:cs="仿宋_GB2312"/>
          <w:color w:val="000000"/>
          <w:kern w:val="0"/>
          <w:sz w:val="32"/>
          <w:szCs w:val="30"/>
        </w:rPr>
        <w:t>满足</w:t>
      </w:r>
      <w:r>
        <w:rPr>
          <w:rFonts w:ascii="仿宋" w:eastAsia="仿宋" w:hAnsi="仿宋" w:cs="仿宋_GB2312" w:hint="eastAsia"/>
          <w:color w:val="000000"/>
          <w:kern w:val="0"/>
          <w:sz w:val="32"/>
          <w:szCs w:val="30"/>
        </w:rPr>
        <w:t>业务参与者的</w:t>
      </w:r>
      <w:r>
        <w:rPr>
          <w:rFonts w:ascii="仿宋" w:eastAsia="仿宋" w:hAnsi="仿宋" w:cs="仿宋_GB2312"/>
          <w:color w:val="000000"/>
          <w:kern w:val="0"/>
          <w:sz w:val="32"/>
          <w:szCs w:val="30"/>
        </w:rPr>
        <w:t>债券结算需要</w:t>
      </w:r>
      <w:r>
        <w:rPr>
          <w:rFonts w:ascii="仿宋" w:eastAsia="仿宋" w:hAnsi="仿宋" w:cs="仿宋_GB2312" w:hint="eastAsia"/>
          <w:color w:val="000000"/>
          <w:kern w:val="0"/>
          <w:sz w:val="32"/>
          <w:szCs w:val="30"/>
        </w:rPr>
        <w:t>，以提升债券</w:t>
      </w:r>
      <w:r>
        <w:rPr>
          <w:rFonts w:ascii="仿宋" w:eastAsia="仿宋" w:hAnsi="仿宋" w:cs="仿宋_GB2312"/>
          <w:color w:val="000000"/>
          <w:kern w:val="0"/>
          <w:sz w:val="32"/>
          <w:szCs w:val="30"/>
        </w:rPr>
        <w:t>结算</w:t>
      </w:r>
      <w:r>
        <w:rPr>
          <w:rFonts w:ascii="仿宋" w:eastAsia="仿宋" w:hAnsi="仿宋" w:cs="仿宋_GB2312" w:hint="eastAsia"/>
          <w:color w:val="000000"/>
          <w:kern w:val="0"/>
          <w:sz w:val="32"/>
          <w:szCs w:val="30"/>
        </w:rPr>
        <w:t>成功率</w:t>
      </w:r>
      <w:r>
        <w:rPr>
          <w:rFonts w:ascii="仿宋" w:eastAsia="仿宋" w:hAnsi="仿宋" w:cs="仿宋_GB2312"/>
          <w:color w:val="000000"/>
          <w:kern w:val="0"/>
          <w:sz w:val="32"/>
          <w:szCs w:val="30"/>
        </w:rPr>
        <w:t>为目的建立的</w:t>
      </w:r>
      <w:r>
        <w:rPr>
          <w:rFonts w:ascii="仿宋" w:eastAsia="仿宋" w:hAnsi="仿宋" w:cs="仿宋_GB2312" w:hint="eastAsia"/>
          <w:color w:val="000000"/>
          <w:kern w:val="0"/>
          <w:sz w:val="32"/>
          <w:szCs w:val="30"/>
        </w:rPr>
        <w:t>风险防范</w:t>
      </w:r>
      <w:r>
        <w:rPr>
          <w:rFonts w:ascii="仿宋" w:eastAsia="仿宋" w:hAnsi="仿宋" w:cs="仿宋_GB2312"/>
          <w:color w:val="000000"/>
          <w:kern w:val="0"/>
          <w:sz w:val="32"/>
          <w:szCs w:val="30"/>
        </w:rPr>
        <w:t>配套机制。</w:t>
      </w:r>
      <w:r>
        <w:rPr>
          <w:rFonts w:ascii="仿宋" w:eastAsia="仿宋" w:hAnsi="仿宋" w:cs="仿宋_GB2312" w:hint="eastAsia"/>
          <w:color w:val="000000"/>
          <w:kern w:val="0"/>
          <w:sz w:val="32"/>
          <w:szCs w:val="30"/>
        </w:rPr>
        <w:t>上海清算所根据借出方指定的可借债券建立可借债券池，当</w:t>
      </w:r>
      <w:r>
        <w:rPr>
          <w:rFonts w:ascii="仿宋" w:eastAsia="仿宋" w:hAnsi="仿宋" w:cs="仿宋_GB2312" w:hint="eastAsia"/>
          <w:kern w:val="0"/>
          <w:sz w:val="32"/>
          <w:szCs w:val="30"/>
        </w:rPr>
        <w:t>借入方结算日应付债券不足时，通过</w:t>
      </w:r>
      <w:r>
        <w:rPr>
          <w:rFonts w:ascii="仿宋" w:eastAsia="仿宋" w:hAnsi="仿宋" w:cs="仿宋_GB2312" w:hint="eastAsia"/>
          <w:color w:val="000000"/>
          <w:kern w:val="0"/>
          <w:sz w:val="32"/>
          <w:szCs w:val="30"/>
        </w:rPr>
        <w:t>同业拆借中心</w:t>
      </w:r>
      <w:r>
        <w:rPr>
          <w:rFonts w:ascii="仿宋" w:eastAsia="仿宋" w:hAnsi="仿宋" w:cs="仿宋_GB2312" w:hint="eastAsia"/>
          <w:kern w:val="0"/>
          <w:sz w:val="32"/>
          <w:szCs w:val="30"/>
        </w:rPr>
        <w:t>发起借贷指令，由上海清算所自动完成标的债券的匹配和借入、担保债券的管理以及到期结算</w:t>
      </w:r>
      <w:r>
        <w:rPr>
          <w:rFonts w:ascii="仿宋" w:eastAsia="仿宋" w:hAnsi="仿宋" w:cs="仿宋_GB2312"/>
          <w:kern w:val="0"/>
          <w:sz w:val="32"/>
          <w:szCs w:val="30"/>
        </w:rPr>
        <w:t>交收</w:t>
      </w:r>
      <w:r>
        <w:rPr>
          <w:rFonts w:ascii="仿宋" w:eastAsia="仿宋" w:hAnsi="仿宋" w:cs="仿宋_GB2312" w:hint="eastAsia"/>
          <w:kern w:val="0"/>
          <w:sz w:val="32"/>
          <w:szCs w:val="30"/>
        </w:rPr>
        <w:t>。</w:t>
      </w:r>
    </w:p>
    <w:p w:rsidR="004A1C9D" w:rsidRDefault="00B678AF">
      <w:pPr>
        <w:pStyle w:val="a6"/>
        <w:numPr>
          <w:ilvl w:val="0"/>
          <w:numId w:val="1"/>
        </w:numPr>
        <w:adjustRightInd w:val="0"/>
        <w:snapToGrid w:val="0"/>
        <w:spacing w:line="580" w:lineRule="exact"/>
        <w:ind w:left="0" w:firstLine="640"/>
        <w:rPr>
          <w:rFonts w:ascii="仿宋" w:eastAsia="仿宋" w:hAnsi="仿宋" w:cs="仿宋_GB2312"/>
          <w:b/>
          <w:color w:val="000000"/>
          <w:kern w:val="0"/>
          <w:sz w:val="32"/>
          <w:szCs w:val="30"/>
        </w:rPr>
      </w:pPr>
      <w:r>
        <w:rPr>
          <w:rFonts w:ascii="仿宋" w:eastAsia="仿宋" w:hAnsi="仿宋" w:cs="仿宋_GB2312" w:hint="eastAsia"/>
          <w:color w:val="000000"/>
          <w:kern w:val="0"/>
          <w:sz w:val="32"/>
          <w:szCs w:val="30"/>
        </w:rPr>
        <w:t>同业拆借中心作为</w:t>
      </w:r>
      <w:r>
        <w:rPr>
          <w:rFonts w:ascii="仿宋" w:eastAsia="仿宋" w:hAnsi="仿宋" w:cs="仿宋_GB2312" w:hint="eastAsia"/>
          <w:kern w:val="0"/>
          <w:sz w:val="32"/>
          <w:szCs w:val="30"/>
        </w:rPr>
        <w:t>中国人民银行（以下简称人民银行）认可的交易平台，为</w:t>
      </w:r>
      <w:r>
        <w:rPr>
          <w:rFonts w:ascii="仿宋" w:eastAsia="仿宋" w:hAnsi="仿宋" w:cs="仿宋_GB2312" w:hint="eastAsia"/>
          <w:color w:val="000000"/>
          <w:kern w:val="0"/>
          <w:sz w:val="32"/>
          <w:szCs w:val="30"/>
        </w:rPr>
        <w:t>中央债券借贷业务提供</w:t>
      </w:r>
      <w:r>
        <w:rPr>
          <w:rFonts w:ascii="仿宋" w:eastAsia="仿宋" w:hAnsi="仿宋" w:cs="仿宋_GB2312" w:hint="eastAsia"/>
          <w:kern w:val="0"/>
          <w:sz w:val="32"/>
          <w:szCs w:val="30"/>
        </w:rPr>
        <w:t>交易等相关服务。</w:t>
      </w:r>
      <w:r>
        <w:rPr>
          <w:rFonts w:ascii="仿宋" w:eastAsia="仿宋" w:hAnsi="仿宋" w:cs="仿宋_GB2312" w:hint="eastAsia"/>
          <w:color w:val="000000"/>
          <w:kern w:val="0"/>
          <w:sz w:val="32"/>
          <w:szCs w:val="30"/>
        </w:rPr>
        <w:t>上海清算所</w:t>
      </w:r>
      <w:r>
        <w:rPr>
          <w:rFonts w:ascii="仿宋" w:eastAsia="仿宋" w:hAnsi="仿宋" w:hint="eastAsia"/>
          <w:kern w:val="0"/>
          <w:sz w:val="32"/>
          <w:szCs w:val="30"/>
        </w:rPr>
        <w:t>作为</w:t>
      </w:r>
      <w:r>
        <w:rPr>
          <w:rFonts w:ascii="仿宋" w:eastAsia="仿宋" w:hAnsi="仿宋" w:cs="仿宋_GB2312" w:hint="eastAsia"/>
          <w:kern w:val="0"/>
          <w:sz w:val="32"/>
          <w:szCs w:val="30"/>
        </w:rPr>
        <w:t>人民银行认可的</w:t>
      </w:r>
      <w:r>
        <w:rPr>
          <w:rFonts w:ascii="仿宋" w:eastAsia="仿宋" w:hAnsi="仿宋"/>
          <w:kern w:val="0"/>
          <w:sz w:val="32"/>
          <w:szCs w:val="30"/>
        </w:rPr>
        <w:t>债券登记结算机构和中央对手</w:t>
      </w:r>
      <w:r>
        <w:rPr>
          <w:rFonts w:ascii="仿宋" w:eastAsia="仿宋" w:hAnsi="仿宋" w:hint="eastAsia"/>
          <w:kern w:val="0"/>
          <w:sz w:val="32"/>
          <w:szCs w:val="30"/>
        </w:rPr>
        <w:t>清算</w:t>
      </w:r>
      <w:r>
        <w:rPr>
          <w:rFonts w:ascii="仿宋" w:eastAsia="仿宋" w:hAnsi="仿宋"/>
          <w:kern w:val="0"/>
          <w:sz w:val="32"/>
          <w:szCs w:val="30"/>
        </w:rPr>
        <w:t>机构</w:t>
      </w:r>
      <w:r>
        <w:rPr>
          <w:rFonts w:ascii="仿宋" w:eastAsia="仿宋" w:hAnsi="仿宋" w:cs="仿宋_GB2312" w:hint="eastAsia"/>
          <w:color w:val="000000"/>
          <w:kern w:val="0"/>
          <w:sz w:val="32"/>
          <w:szCs w:val="30"/>
        </w:rPr>
        <w:t>，为中央债券借贷业务提供</w:t>
      </w:r>
      <w:r>
        <w:rPr>
          <w:rFonts w:ascii="仿宋" w:eastAsia="仿宋" w:hAnsi="仿宋" w:cs="仿宋_GB2312"/>
          <w:kern w:val="0"/>
          <w:sz w:val="32"/>
          <w:szCs w:val="30"/>
        </w:rPr>
        <w:t>集中</w:t>
      </w:r>
      <w:r>
        <w:rPr>
          <w:rFonts w:ascii="仿宋" w:eastAsia="仿宋" w:hAnsi="仿宋" w:cs="仿宋_GB2312" w:hint="eastAsia"/>
          <w:color w:val="000000"/>
          <w:kern w:val="0"/>
          <w:sz w:val="32"/>
          <w:szCs w:val="30"/>
        </w:rPr>
        <w:t>清算、结算交收、履约</w:t>
      </w:r>
      <w:r>
        <w:rPr>
          <w:rFonts w:ascii="仿宋" w:eastAsia="仿宋" w:hAnsi="仿宋" w:cs="仿宋_GB2312" w:hint="eastAsia"/>
          <w:color w:val="000000"/>
          <w:kern w:val="0"/>
          <w:sz w:val="32"/>
          <w:szCs w:val="30"/>
        </w:rPr>
        <w:lastRenderedPageBreak/>
        <w:t>保障等相关服务。</w:t>
      </w:r>
    </w:p>
    <w:p w:rsidR="004A1C9D" w:rsidRDefault="00B678AF">
      <w:pPr>
        <w:pStyle w:val="a6"/>
        <w:numPr>
          <w:ilvl w:val="0"/>
          <w:numId w:val="1"/>
        </w:numPr>
        <w:adjustRightInd w:val="0"/>
        <w:snapToGrid w:val="0"/>
        <w:spacing w:line="580" w:lineRule="exact"/>
        <w:ind w:left="0" w:firstLine="640"/>
        <w:rPr>
          <w:rFonts w:ascii="仿宋" w:eastAsia="仿宋" w:hAnsi="仿宋" w:cs="仿宋_GB2312"/>
          <w:color w:val="000000"/>
          <w:kern w:val="0"/>
          <w:sz w:val="32"/>
          <w:szCs w:val="30"/>
        </w:rPr>
      </w:pPr>
      <w:r>
        <w:rPr>
          <w:rFonts w:ascii="仿宋" w:eastAsia="仿宋" w:hAnsi="仿宋" w:cs="仿宋_GB2312" w:hint="eastAsia"/>
          <w:color w:val="000000"/>
          <w:kern w:val="0"/>
          <w:sz w:val="32"/>
          <w:szCs w:val="30"/>
        </w:rPr>
        <w:t>银行间债券市场</w:t>
      </w:r>
      <w:r>
        <w:rPr>
          <w:rFonts w:ascii="仿宋" w:eastAsia="仿宋" w:hAnsi="仿宋" w:cs="仿宋_GB2312"/>
          <w:color w:val="000000"/>
          <w:kern w:val="0"/>
          <w:sz w:val="32"/>
          <w:szCs w:val="30"/>
        </w:rPr>
        <w:t>债券净额清算会员以及其他</w:t>
      </w:r>
      <w:r>
        <w:rPr>
          <w:rFonts w:ascii="仿宋" w:eastAsia="仿宋" w:hAnsi="仿宋" w:cs="仿宋_GB2312" w:hint="eastAsia"/>
          <w:color w:val="000000"/>
          <w:kern w:val="0"/>
          <w:sz w:val="32"/>
          <w:szCs w:val="30"/>
        </w:rPr>
        <w:t>在同业拆借中心本币交易系统开立相关交易账户并符合上海清算</w:t>
      </w:r>
      <w:proofErr w:type="gramStart"/>
      <w:r>
        <w:rPr>
          <w:rFonts w:ascii="仿宋" w:eastAsia="仿宋" w:hAnsi="仿宋" w:cs="仿宋_GB2312" w:hint="eastAsia"/>
          <w:color w:val="000000"/>
          <w:kern w:val="0"/>
          <w:sz w:val="32"/>
          <w:szCs w:val="30"/>
        </w:rPr>
        <w:t>所相关</w:t>
      </w:r>
      <w:proofErr w:type="gramEnd"/>
      <w:r>
        <w:rPr>
          <w:rFonts w:ascii="仿宋" w:eastAsia="仿宋" w:hAnsi="仿宋" w:cs="仿宋_GB2312" w:hint="eastAsia"/>
          <w:color w:val="000000"/>
          <w:kern w:val="0"/>
          <w:sz w:val="32"/>
          <w:szCs w:val="30"/>
        </w:rPr>
        <w:t>资质要求的市场机构，可申请成为借入方。在同业拆借中心本币交易系统开立相关交易账户，并在上海清算所</w:t>
      </w:r>
      <w:r>
        <w:rPr>
          <w:rFonts w:ascii="仿宋" w:eastAsia="仿宋" w:hAnsi="仿宋" w:cs="仿宋_GB2312"/>
          <w:color w:val="000000"/>
          <w:kern w:val="0"/>
          <w:sz w:val="32"/>
          <w:szCs w:val="30"/>
        </w:rPr>
        <w:t>开立债券账户的</w:t>
      </w:r>
      <w:r>
        <w:rPr>
          <w:rFonts w:ascii="仿宋" w:eastAsia="仿宋" w:hAnsi="仿宋" w:cs="仿宋_GB2312" w:hint="eastAsia"/>
          <w:color w:val="000000"/>
          <w:kern w:val="0"/>
          <w:sz w:val="32"/>
          <w:szCs w:val="30"/>
        </w:rPr>
        <w:t>市场机构</w:t>
      </w:r>
      <w:r>
        <w:rPr>
          <w:rFonts w:ascii="仿宋" w:eastAsia="仿宋" w:hAnsi="仿宋" w:cs="仿宋_GB2312"/>
          <w:color w:val="000000"/>
          <w:kern w:val="0"/>
          <w:sz w:val="32"/>
          <w:szCs w:val="30"/>
        </w:rPr>
        <w:t>均</w:t>
      </w:r>
      <w:r>
        <w:rPr>
          <w:rFonts w:ascii="仿宋" w:eastAsia="仿宋" w:hAnsi="仿宋" w:cs="仿宋_GB2312" w:hint="eastAsia"/>
          <w:color w:val="000000"/>
          <w:kern w:val="0"/>
          <w:sz w:val="32"/>
          <w:szCs w:val="30"/>
        </w:rPr>
        <w:t>可申请成</w:t>
      </w:r>
      <w:r>
        <w:rPr>
          <w:rFonts w:ascii="仿宋" w:eastAsia="仿宋" w:hAnsi="仿宋" w:cs="仿宋_GB2312"/>
          <w:color w:val="000000"/>
          <w:kern w:val="0"/>
          <w:sz w:val="32"/>
          <w:szCs w:val="30"/>
        </w:rPr>
        <w:t>为借出方。</w:t>
      </w:r>
    </w:p>
    <w:p w:rsidR="004A1C9D" w:rsidRDefault="00B678AF">
      <w:pPr>
        <w:pStyle w:val="a6"/>
        <w:numPr>
          <w:ilvl w:val="0"/>
          <w:numId w:val="1"/>
        </w:numPr>
        <w:adjustRightInd w:val="0"/>
        <w:snapToGrid w:val="0"/>
        <w:spacing w:line="580" w:lineRule="exact"/>
        <w:ind w:left="0" w:firstLine="640"/>
        <w:rPr>
          <w:rFonts w:ascii="仿宋" w:eastAsia="仿宋" w:hAnsi="仿宋" w:cs="仿宋_GB2312"/>
          <w:color w:val="000000"/>
          <w:kern w:val="0"/>
          <w:sz w:val="32"/>
          <w:szCs w:val="30"/>
        </w:rPr>
      </w:pPr>
      <w:r>
        <w:rPr>
          <w:rFonts w:ascii="仿宋" w:eastAsia="仿宋" w:hAnsi="仿宋" w:cs="仿宋_GB2312" w:hint="eastAsia"/>
          <w:color w:val="000000"/>
          <w:kern w:val="0"/>
          <w:sz w:val="32"/>
          <w:szCs w:val="30"/>
        </w:rPr>
        <w:t>开展中央债券借贷业务前，业务参与者应签署《中国银行间市场债券借贷交易主协议》，并与上海清算所签订《中央债券借贷业务服务协议》</w:t>
      </w:r>
      <w:r>
        <w:rPr>
          <w:rFonts w:ascii="仿宋" w:eastAsia="仿宋" w:hAnsi="仿宋" w:cs="仿宋_GB2312"/>
          <w:color w:val="000000"/>
          <w:kern w:val="0"/>
          <w:sz w:val="32"/>
          <w:szCs w:val="30"/>
        </w:rPr>
        <w:t>。</w:t>
      </w:r>
    </w:p>
    <w:p w:rsidR="004A1C9D" w:rsidRDefault="00B678AF">
      <w:pPr>
        <w:pStyle w:val="a6"/>
        <w:numPr>
          <w:ilvl w:val="0"/>
          <w:numId w:val="1"/>
        </w:numPr>
        <w:adjustRightInd w:val="0"/>
        <w:snapToGrid w:val="0"/>
        <w:spacing w:line="580" w:lineRule="exact"/>
        <w:ind w:left="0" w:firstLine="640"/>
        <w:rPr>
          <w:rFonts w:ascii="仿宋" w:eastAsia="仿宋" w:hAnsi="仿宋" w:cs="仿宋_GB2312"/>
          <w:color w:val="000000"/>
          <w:kern w:val="0"/>
          <w:sz w:val="32"/>
          <w:szCs w:val="30"/>
        </w:rPr>
      </w:pPr>
      <w:r>
        <w:rPr>
          <w:rFonts w:ascii="仿宋" w:eastAsia="仿宋" w:hAnsi="仿宋" w:cs="仿宋_GB2312" w:hint="eastAsia"/>
          <w:color w:val="000000"/>
          <w:kern w:val="0"/>
          <w:sz w:val="32"/>
          <w:szCs w:val="30"/>
        </w:rPr>
        <w:t>借出方可对其债券账户内的债券指定</w:t>
      </w:r>
      <w:r>
        <w:rPr>
          <w:rFonts w:ascii="仿宋" w:eastAsia="仿宋" w:hAnsi="仿宋" w:cs="仿宋_GB2312"/>
          <w:color w:val="000000"/>
          <w:kern w:val="0"/>
          <w:sz w:val="32"/>
          <w:szCs w:val="30"/>
        </w:rPr>
        <w:t>可借范围和可借额度</w:t>
      </w:r>
      <w:r>
        <w:rPr>
          <w:rFonts w:ascii="仿宋" w:eastAsia="仿宋" w:hAnsi="仿宋" w:cs="仿宋_GB2312" w:hint="eastAsia"/>
          <w:color w:val="000000"/>
          <w:kern w:val="0"/>
          <w:sz w:val="32"/>
          <w:szCs w:val="30"/>
        </w:rPr>
        <w:t>。所有借出方实际可借额度内的债券组成上海清算所可借债券池。可借</w:t>
      </w:r>
      <w:r>
        <w:rPr>
          <w:rFonts w:ascii="仿宋" w:eastAsia="仿宋" w:hAnsi="仿宋" w:cs="仿宋_GB2312"/>
          <w:color w:val="000000"/>
          <w:kern w:val="0"/>
          <w:sz w:val="32"/>
          <w:szCs w:val="30"/>
        </w:rPr>
        <w:t>债券在尚未被实际借出前，均可用于各类结算。</w:t>
      </w:r>
    </w:p>
    <w:p w:rsidR="004A1C9D" w:rsidRDefault="00B678AF">
      <w:pPr>
        <w:pStyle w:val="a6"/>
        <w:numPr>
          <w:ilvl w:val="0"/>
          <w:numId w:val="1"/>
        </w:numPr>
        <w:adjustRightInd w:val="0"/>
        <w:snapToGrid w:val="0"/>
        <w:spacing w:line="580" w:lineRule="exact"/>
        <w:ind w:left="0" w:firstLine="640"/>
        <w:rPr>
          <w:rFonts w:ascii="仿宋" w:eastAsia="仿宋" w:hAnsi="仿宋" w:cs="仿宋_GB2312"/>
          <w:color w:val="000000"/>
          <w:kern w:val="0"/>
          <w:sz w:val="32"/>
          <w:szCs w:val="30"/>
        </w:rPr>
      </w:pPr>
      <w:r>
        <w:rPr>
          <w:rFonts w:ascii="仿宋" w:eastAsia="仿宋" w:hAnsi="仿宋" w:cs="仿宋_GB2312" w:hint="eastAsia"/>
          <w:color w:val="000000"/>
          <w:kern w:val="0"/>
          <w:sz w:val="32"/>
          <w:szCs w:val="30"/>
        </w:rPr>
        <w:t>借入方为防范结算失败，对结</w:t>
      </w:r>
      <w:r>
        <w:rPr>
          <w:rFonts w:ascii="仿宋" w:eastAsia="仿宋" w:hAnsi="仿宋" w:cs="仿宋_GB2312" w:hint="eastAsia"/>
          <w:color w:val="000000"/>
          <w:kern w:val="0"/>
          <w:sz w:val="32"/>
          <w:szCs w:val="30"/>
        </w:rPr>
        <w:t>算日应付债券不足的交易，通过同业拆借中心交易系统主动发起中央债券借贷指令，其要素包括原交易成交单编号、标的债券、标的债券</w:t>
      </w:r>
      <w:r>
        <w:rPr>
          <w:rFonts w:ascii="仿宋" w:eastAsia="仿宋" w:hAnsi="仿宋" w:cs="仿宋_GB2312"/>
          <w:color w:val="000000"/>
          <w:kern w:val="0"/>
          <w:sz w:val="32"/>
          <w:szCs w:val="30"/>
        </w:rPr>
        <w:t>面额</w:t>
      </w:r>
      <w:r>
        <w:rPr>
          <w:rFonts w:ascii="仿宋" w:eastAsia="仿宋" w:hAnsi="仿宋" w:cs="仿宋_GB2312" w:hint="eastAsia"/>
          <w:color w:val="000000"/>
          <w:kern w:val="0"/>
          <w:sz w:val="32"/>
          <w:szCs w:val="30"/>
        </w:rPr>
        <w:t>、担保债券、担保债券面额、借贷期限、借贷费率等。</w:t>
      </w:r>
    </w:p>
    <w:p w:rsidR="004A1C9D" w:rsidRDefault="00B678AF">
      <w:pPr>
        <w:pStyle w:val="a6"/>
        <w:numPr>
          <w:ilvl w:val="0"/>
          <w:numId w:val="1"/>
        </w:numPr>
        <w:adjustRightInd w:val="0"/>
        <w:snapToGrid w:val="0"/>
        <w:spacing w:line="580" w:lineRule="exact"/>
        <w:ind w:left="0" w:firstLine="640"/>
        <w:rPr>
          <w:rFonts w:ascii="仿宋" w:eastAsia="仿宋" w:hAnsi="仿宋" w:cs="仿宋_GB2312"/>
          <w:color w:val="000000"/>
          <w:kern w:val="0"/>
          <w:sz w:val="32"/>
          <w:szCs w:val="30"/>
        </w:rPr>
      </w:pPr>
      <w:r>
        <w:rPr>
          <w:rFonts w:ascii="仿宋" w:eastAsia="仿宋" w:hAnsi="仿宋" w:cs="仿宋_GB2312" w:hint="eastAsia"/>
          <w:color w:val="000000"/>
          <w:kern w:val="0"/>
          <w:sz w:val="32"/>
          <w:szCs w:val="30"/>
        </w:rPr>
        <w:t>中央债券借贷业务采用匿名方式开展。上海清算所</w:t>
      </w:r>
      <w:r>
        <w:rPr>
          <w:rFonts w:ascii="仿宋" w:eastAsia="仿宋" w:hAnsi="仿宋" w:hint="eastAsia"/>
          <w:sz w:val="32"/>
          <w:szCs w:val="30"/>
        </w:rPr>
        <w:t>实时接收借贷指令后</w:t>
      </w:r>
      <w:r>
        <w:rPr>
          <w:rFonts w:ascii="仿宋" w:eastAsia="仿宋" w:hAnsi="仿宋" w:cs="仿宋_GB2312" w:hint="eastAsia"/>
          <w:color w:val="000000"/>
          <w:kern w:val="0"/>
          <w:sz w:val="32"/>
          <w:szCs w:val="30"/>
        </w:rPr>
        <w:t>，按规则自动从可借债券池中匹配标的债券，并作为借入方的借出方和借出方的借入方，生成中央债券借贷结算指令</w:t>
      </w:r>
      <w:r>
        <w:rPr>
          <w:rFonts w:ascii="仿宋" w:eastAsia="仿宋" w:hAnsi="仿宋" w:hint="eastAsia"/>
          <w:sz w:val="32"/>
          <w:szCs w:val="30"/>
        </w:rPr>
        <w:t>。</w:t>
      </w:r>
      <w:r>
        <w:rPr>
          <w:rFonts w:ascii="仿宋" w:eastAsia="仿宋" w:hAnsi="仿宋" w:cs="仿宋_GB2312" w:hint="eastAsia"/>
          <w:color w:val="000000"/>
          <w:kern w:val="0"/>
          <w:sz w:val="32"/>
          <w:szCs w:val="30"/>
        </w:rPr>
        <w:t>如匹配</w:t>
      </w:r>
      <w:proofErr w:type="gramStart"/>
      <w:r>
        <w:rPr>
          <w:rFonts w:ascii="仿宋" w:eastAsia="仿宋" w:hAnsi="仿宋" w:cs="仿宋_GB2312" w:hint="eastAsia"/>
          <w:color w:val="000000"/>
          <w:kern w:val="0"/>
          <w:sz w:val="32"/>
          <w:szCs w:val="30"/>
        </w:rPr>
        <w:t>不</w:t>
      </w:r>
      <w:proofErr w:type="gramEnd"/>
      <w:r>
        <w:rPr>
          <w:rFonts w:ascii="仿宋" w:eastAsia="仿宋" w:hAnsi="仿宋" w:cs="仿宋_GB2312" w:hint="eastAsia"/>
          <w:color w:val="000000"/>
          <w:kern w:val="0"/>
          <w:sz w:val="32"/>
          <w:szCs w:val="30"/>
        </w:rPr>
        <w:t>足额，该笔借贷指令借券失败。中央债券借贷匹配结果及相关信息可在同业拆借中心和上海清算所系统中查</w:t>
      </w:r>
      <w:r>
        <w:rPr>
          <w:rFonts w:ascii="仿宋" w:eastAsia="仿宋" w:hAnsi="仿宋" w:cs="仿宋_GB2312" w:hint="eastAsia"/>
          <w:color w:val="000000"/>
          <w:kern w:val="0"/>
          <w:sz w:val="32"/>
          <w:szCs w:val="30"/>
        </w:rPr>
        <w:lastRenderedPageBreak/>
        <w:t>询。</w:t>
      </w:r>
    </w:p>
    <w:p w:rsidR="004A1C9D" w:rsidRDefault="00B678AF">
      <w:pPr>
        <w:pStyle w:val="a6"/>
        <w:numPr>
          <w:ilvl w:val="0"/>
          <w:numId w:val="1"/>
        </w:numPr>
        <w:adjustRightInd w:val="0"/>
        <w:snapToGrid w:val="0"/>
        <w:spacing w:line="580" w:lineRule="exact"/>
        <w:ind w:left="0" w:firstLine="640"/>
        <w:rPr>
          <w:rFonts w:ascii="仿宋" w:eastAsia="仿宋" w:hAnsi="仿宋" w:cs="仿宋_GB2312"/>
          <w:color w:val="000000"/>
          <w:kern w:val="0"/>
          <w:sz w:val="32"/>
          <w:szCs w:val="30"/>
        </w:rPr>
      </w:pPr>
      <w:r>
        <w:rPr>
          <w:rFonts w:ascii="仿宋" w:eastAsia="仿宋" w:hAnsi="仿宋" w:cs="仿宋_GB2312" w:hint="eastAsia"/>
          <w:color w:val="000000"/>
          <w:kern w:val="0"/>
          <w:sz w:val="32"/>
          <w:szCs w:val="30"/>
        </w:rPr>
        <w:t>中央债券借贷业务按照全额实时</w:t>
      </w:r>
      <w:r>
        <w:rPr>
          <w:rFonts w:ascii="仿宋" w:eastAsia="仿宋" w:hAnsi="仿宋" w:cs="仿宋_GB2312"/>
          <w:color w:val="000000"/>
          <w:kern w:val="0"/>
          <w:sz w:val="32"/>
          <w:szCs w:val="30"/>
        </w:rPr>
        <w:t>逐笔的原则</w:t>
      </w:r>
      <w:r>
        <w:rPr>
          <w:rFonts w:ascii="仿宋" w:eastAsia="仿宋" w:hAnsi="仿宋" w:cs="仿宋_GB2312" w:hint="eastAsia"/>
          <w:color w:val="000000"/>
          <w:kern w:val="0"/>
          <w:sz w:val="32"/>
          <w:szCs w:val="30"/>
        </w:rPr>
        <w:t>，完成标的</w:t>
      </w:r>
      <w:r>
        <w:rPr>
          <w:rFonts w:ascii="仿宋" w:eastAsia="仿宋" w:hAnsi="仿宋" w:cs="仿宋_GB2312"/>
          <w:color w:val="000000"/>
          <w:kern w:val="0"/>
          <w:sz w:val="32"/>
          <w:szCs w:val="30"/>
        </w:rPr>
        <w:t>债券首期和到期</w:t>
      </w:r>
      <w:r>
        <w:rPr>
          <w:rFonts w:ascii="仿宋" w:eastAsia="仿宋" w:hAnsi="仿宋" w:cs="仿宋_GB2312" w:hint="eastAsia"/>
          <w:color w:val="000000"/>
          <w:kern w:val="0"/>
          <w:sz w:val="32"/>
          <w:szCs w:val="30"/>
        </w:rPr>
        <w:t>结算、担保债券质押和解</w:t>
      </w:r>
      <w:proofErr w:type="gramStart"/>
      <w:r>
        <w:rPr>
          <w:rFonts w:ascii="仿宋" w:eastAsia="仿宋" w:hAnsi="仿宋" w:cs="仿宋_GB2312" w:hint="eastAsia"/>
          <w:color w:val="000000"/>
          <w:kern w:val="0"/>
          <w:sz w:val="32"/>
          <w:szCs w:val="30"/>
        </w:rPr>
        <w:t>押</w:t>
      </w:r>
      <w:proofErr w:type="gramEnd"/>
      <w:r>
        <w:rPr>
          <w:rFonts w:ascii="仿宋" w:eastAsia="仿宋" w:hAnsi="仿宋" w:cs="仿宋_GB2312" w:hint="eastAsia"/>
          <w:color w:val="000000"/>
          <w:kern w:val="0"/>
          <w:sz w:val="32"/>
          <w:szCs w:val="30"/>
        </w:rPr>
        <w:t>以及资金结算。</w:t>
      </w:r>
    </w:p>
    <w:p w:rsidR="004A1C9D" w:rsidRDefault="00B678AF">
      <w:pPr>
        <w:pStyle w:val="a6"/>
        <w:numPr>
          <w:ilvl w:val="0"/>
          <w:numId w:val="1"/>
        </w:numPr>
        <w:adjustRightInd w:val="0"/>
        <w:snapToGrid w:val="0"/>
        <w:spacing w:line="580" w:lineRule="exact"/>
        <w:ind w:left="0" w:firstLine="640"/>
        <w:rPr>
          <w:rFonts w:ascii="仿宋" w:eastAsia="仿宋" w:hAnsi="仿宋" w:cs="仿宋_GB2312"/>
          <w:color w:val="000000"/>
          <w:kern w:val="0"/>
          <w:sz w:val="32"/>
          <w:szCs w:val="30"/>
        </w:rPr>
      </w:pPr>
      <w:r>
        <w:rPr>
          <w:rFonts w:ascii="仿宋" w:eastAsia="仿宋" w:hAnsi="仿宋" w:cs="仿宋_GB2312" w:hint="eastAsia"/>
          <w:color w:val="000000"/>
          <w:kern w:val="0"/>
          <w:sz w:val="32"/>
          <w:szCs w:val="30"/>
        </w:rPr>
        <w:t>借入方应</w:t>
      </w:r>
      <w:r>
        <w:rPr>
          <w:rFonts w:ascii="仿宋" w:eastAsia="仿宋" w:hAnsi="仿宋" w:cs="仿宋_GB2312"/>
          <w:color w:val="000000"/>
          <w:kern w:val="0"/>
          <w:sz w:val="32"/>
          <w:szCs w:val="30"/>
        </w:rPr>
        <w:t>使用</w:t>
      </w:r>
      <w:r>
        <w:rPr>
          <w:rFonts w:ascii="仿宋" w:eastAsia="仿宋" w:hAnsi="仿宋" w:cs="仿宋_GB2312" w:hint="eastAsia"/>
          <w:color w:val="000000"/>
          <w:kern w:val="0"/>
          <w:sz w:val="32"/>
          <w:szCs w:val="30"/>
        </w:rPr>
        <w:t>合资格债券</w:t>
      </w:r>
      <w:r>
        <w:rPr>
          <w:rFonts w:ascii="仿宋" w:eastAsia="仿宋" w:hAnsi="仿宋" w:cs="仿宋_GB2312"/>
          <w:color w:val="000000"/>
          <w:kern w:val="0"/>
          <w:sz w:val="32"/>
          <w:szCs w:val="30"/>
        </w:rPr>
        <w:t>作为</w:t>
      </w:r>
      <w:r>
        <w:rPr>
          <w:rFonts w:ascii="仿宋" w:eastAsia="仿宋" w:hAnsi="仿宋" w:cs="仿宋_GB2312" w:hint="eastAsia"/>
          <w:color w:val="000000"/>
          <w:kern w:val="0"/>
          <w:sz w:val="32"/>
          <w:szCs w:val="30"/>
        </w:rPr>
        <w:t>标的债券和担保债券</w:t>
      </w:r>
      <w:r>
        <w:rPr>
          <w:rFonts w:ascii="仿宋" w:eastAsia="仿宋" w:hAnsi="仿宋" w:cs="仿宋_GB2312"/>
          <w:color w:val="000000"/>
          <w:kern w:val="0"/>
          <w:sz w:val="32"/>
          <w:szCs w:val="30"/>
        </w:rPr>
        <w:t>。上海清算所负责</w:t>
      </w:r>
      <w:r>
        <w:rPr>
          <w:rFonts w:ascii="仿宋" w:eastAsia="仿宋" w:hAnsi="仿宋" w:cs="仿宋_GB2312" w:hint="eastAsia"/>
          <w:color w:val="000000"/>
          <w:kern w:val="0"/>
          <w:sz w:val="32"/>
          <w:szCs w:val="30"/>
        </w:rPr>
        <w:t>制定和公布合资格标的债券范围、担保债券范围</w:t>
      </w:r>
      <w:r>
        <w:rPr>
          <w:rFonts w:ascii="仿宋" w:eastAsia="仿宋" w:hAnsi="仿宋" w:cs="仿宋_GB2312"/>
          <w:color w:val="000000"/>
          <w:kern w:val="0"/>
          <w:sz w:val="32"/>
          <w:szCs w:val="30"/>
        </w:rPr>
        <w:t>和折扣率</w:t>
      </w:r>
      <w:r>
        <w:rPr>
          <w:rFonts w:ascii="仿宋" w:eastAsia="仿宋" w:hAnsi="仿宋" w:cs="仿宋_GB2312" w:hint="eastAsia"/>
          <w:color w:val="000000"/>
          <w:kern w:val="0"/>
          <w:sz w:val="32"/>
          <w:szCs w:val="30"/>
        </w:rPr>
        <w:t>，并有权</w:t>
      </w:r>
      <w:r>
        <w:rPr>
          <w:rFonts w:ascii="仿宋" w:eastAsia="仿宋" w:hAnsi="仿宋" w:cs="仿宋_GB2312"/>
          <w:color w:val="000000"/>
          <w:kern w:val="0"/>
          <w:sz w:val="32"/>
          <w:szCs w:val="30"/>
        </w:rPr>
        <w:t>根据市场运行情况</w:t>
      </w:r>
      <w:r>
        <w:rPr>
          <w:rFonts w:ascii="仿宋" w:eastAsia="仿宋" w:hAnsi="仿宋" w:cs="仿宋_GB2312" w:hint="eastAsia"/>
          <w:color w:val="000000"/>
          <w:kern w:val="0"/>
          <w:sz w:val="32"/>
          <w:szCs w:val="30"/>
        </w:rPr>
        <w:t>、</w:t>
      </w:r>
      <w:r>
        <w:rPr>
          <w:rFonts w:ascii="仿宋" w:eastAsia="仿宋" w:hAnsi="仿宋" w:cs="仿宋_GB2312"/>
          <w:color w:val="000000"/>
          <w:kern w:val="0"/>
          <w:sz w:val="32"/>
          <w:szCs w:val="30"/>
        </w:rPr>
        <w:t>人民银行要求及相关规定适时调整</w:t>
      </w:r>
      <w:r>
        <w:rPr>
          <w:rFonts w:ascii="仿宋" w:eastAsia="仿宋" w:hAnsi="仿宋" w:cs="仿宋_GB2312" w:hint="eastAsia"/>
          <w:color w:val="000000"/>
          <w:kern w:val="0"/>
          <w:sz w:val="32"/>
          <w:szCs w:val="30"/>
        </w:rPr>
        <w:t>。</w:t>
      </w:r>
    </w:p>
    <w:p w:rsidR="004A1C9D" w:rsidRDefault="00B678AF">
      <w:pPr>
        <w:pStyle w:val="a6"/>
        <w:numPr>
          <w:ilvl w:val="0"/>
          <w:numId w:val="1"/>
        </w:numPr>
        <w:adjustRightInd w:val="0"/>
        <w:snapToGrid w:val="0"/>
        <w:spacing w:line="580" w:lineRule="exact"/>
        <w:ind w:left="0" w:firstLine="640"/>
        <w:rPr>
          <w:rFonts w:ascii="仿宋" w:eastAsia="仿宋" w:hAnsi="仿宋" w:cs="仿宋_GB2312"/>
          <w:color w:val="000000"/>
          <w:kern w:val="0"/>
          <w:sz w:val="32"/>
          <w:szCs w:val="30"/>
        </w:rPr>
      </w:pPr>
      <w:r>
        <w:rPr>
          <w:rFonts w:ascii="仿宋" w:eastAsia="仿宋" w:hAnsi="仿宋" w:cs="仿宋_GB2312" w:hint="eastAsia"/>
          <w:color w:val="000000"/>
          <w:kern w:val="0"/>
          <w:sz w:val="32"/>
          <w:szCs w:val="30"/>
        </w:rPr>
        <w:t>借贷存续期间，</w:t>
      </w:r>
      <w:r>
        <w:rPr>
          <w:rFonts w:ascii="仿宋" w:eastAsia="仿宋" w:hAnsi="仿宋" w:cs="仿宋_GB2312"/>
          <w:color w:val="000000"/>
          <w:kern w:val="0"/>
          <w:sz w:val="32"/>
          <w:szCs w:val="30"/>
        </w:rPr>
        <w:t>借入方可进行</w:t>
      </w:r>
      <w:r>
        <w:rPr>
          <w:rFonts w:ascii="仿宋" w:eastAsia="仿宋" w:hAnsi="仿宋" w:cs="仿宋_GB2312" w:hint="eastAsia"/>
          <w:color w:val="000000"/>
          <w:kern w:val="0"/>
          <w:sz w:val="32"/>
          <w:szCs w:val="30"/>
        </w:rPr>
        <w:t>担保债券</w:t>
      </w:r>
      <w:r>
        <w:rPr>
          <w:rFonts w:ascii="仿宋" w:eastAsia="仿宋" w:hAnsi="仿宋" w:cs="仿宋_GB2312"/>
          <w:color w:val="000000"/>
          <w:kern w:val="0"/>
          <w:sz w:val="32"/>
          <w:szCs w:val="30"/>
        </w:rPr>
        <w:t>的调整</w:t>
      </w:r>
      <w:r>
        <w:rPr>
          <w:rFonts w:ascii="仿宋" w:eastAsia="仿宋" w:hAnsi="仿宋" w:cs="仿宋_GB2312" w:hint="eastAsia"/>
          <w:color w:val="000000"/>
          <w:kern w:val="0"/>
          <w:sz w:val="32"/>
          <w:szCs w:val="30"/>
        </w:rPr>
        <w:t>，调整后担保债券</w:t>
      </w:r>
      <w:r>
        <w:rPr>
          <w:rFonts w:ascii="仿宋" w:eastAsia="仿宋" w:hAnsi="仿宋" w:cs="仿宋_GB2312"/>
          <w:color w:val="000000"/>
          <w:kern w:val="0"/>
          <w:sz w:val="32"/>
          <w:szCs w:val="30"/>
        </w:rPr>
        <w:t>价值</w:t>
      </w:r>
      <w:r>
        <w:rPr>
          <w:rFonts w:ascii="仿宋" w:eastAsia="仿宋" w:hAnsi="仿宋" w:cs="仿宋_GB2312" w:hint="eastAsia"/>
          <w:color w:val="000000"/>
          <w:kern w:val="0"/>
          <w:sz w:val="32"/>
          <w:szCs w:val="30"/>
        </w:rPr>
        <w:t>应足额。</w:t>
      </w:r>
    </w:p>
    <w:p w:rsidR="004A1C9D" w:rsidRDefault="00B678AF">
      <w:pPr>
        <w:pStyle w:val="a6"/>
        <w:numPr>
          <w:ilvl w:val="0"/>
          <w:numId w:val="1"/>
        </w:numPr>
        <w:adjustRightInd w:val="0"/>
        <w:snapToGrid w:val="0"/>
        <w:spacing w:line="580" w:lineRule="exact"/>
        <w:ind w:left="0" w:firstLine="640"/>
        <w:rPr>
          <w:rFonts w:ascii="仿宋" w:eastAsia="仿宋" w:hAnsi="仿宋" w:cs="仿宋_GB2312"/>
          <w:color w:val="000000"/>
          <w:kern w:val="0"/>
          <w:sz w:val="32"/>
          <w:szCs w:val="30"/>
        </w:rPr>
      </w:pPr>
      <w:r>
        <w:rPr>
          <w:rFonts w:ascii="仿宋" w:eastAsia="仿宋" w:hAnsi="仿宋" w:cs="仿宋_GB2312" w:hint="eastAsia"/>
          <w:color w:val="000000"/>
          <w:kern w:val="0"/>
          <w:sz w:val="32"/>
          <w:szCs w:val="30"/>
        </w:rPr>
        <w:t>借贷</w:t>
      </w:r>
      <w:r>
        <w:rPr>
          <w:rFonts w:ascii="仿宋" w:eastAsia="仿宋" w:hAnsi="仿宋" w:cs="仿宋_GB2312"/>
          <w:color w:val="000000"/>
          <w:kern w:val="0"/>
          <w:sz w:val="32"/>
          <w:szCs w:val="30"/>
        </w:rPr>
        <w:t>存续期间</w:t>
      </w:r>
      <w:r>
        <w:rPr>
          <w:rFonts w:ascii="仿宋" w:eastAsia="仿宋" w:hAnsi="仿宋" w:cs="仿宋_GB2312" w:hint="eastAsia"/>
          <w:color w:val="000000"/>
          <w:kern w:val="0"/>
          <w:sz w:val="32"/>
          <w:szCs w:val="30"/>
        </w:rPr>
        <w:t>，</w:t>
      </w:r>
      <w:r>
        <w:rPr>
          <w:rFonts w:ascii="仿宋" w:eastAsia="仿宋" w:hAnsi="仿宋" w:cs="仿宋_GB2312"/>
          <w:color w:val="000000"/>
          <w:kern w:val="0"/>
          <w:sz w:val="32"/>
          <w:szCs w:val="30"/>
        </w:rPr>
        <w:t>借入方可</w:t>
      </w:r>
      <w:r>
        <w:rPr>
          <w:rFonts w:ascii="仿宋" w:eastAsia="仿宋" w:hAnsi="仿宋" w:cs="仿宋_GB2312" w:hint="eastAsia"/>
          <w:color w:val="000000"/>
          <w:kern w:val="0"/>
          <w:sz w:val="32"/>
          <w:szCs w:val="30"/>
        </w:rPr>
        <w:t>提交</w:t>
      </w:r>
      <w:r>
        <w:rPr>
          <w:rFonts w:ascii="仿宋" w:eastAsia="仿宋" w:hAnsi="仿宋" w:cs="仿宋_GB2312"/>
          <w:color w:val="000000"/>
          <w:kern w:val="0"/>
          <w:sz w:val="32"/>
          <w:szCs w:val="30"/>
        </w:rPr>
        <w:t>现金交割</w:t>
      </w:r>
      <w:r>
        <w:rPr>
          <w:rFonts w:ascii="仿宋" w:eastAsia="仿宋" w:hAnsi="仿宋" w:cs="仿宋_GB2312" w:hint="eastAsia"/>
          <w:color w:val="000000"/>
          <w:kern w:val="0"/>
          <w:sz w:val="32"/>
          <w:szCs w:val="30"/>
        </w:rPr>
        <w:t>申请。</w:t>
      </w:r>
      <w:r>
        <w:rPr>
          <w:rFonts w:ascii="仿宋" w:eastAsia="仿宋" w:hAnsi="仿宋" w:cs="仿宋_GB2312"/>
          <w:color w:val="000000"/>
          <w:kern w:val="0"/>
          <w:sz w:val="32"/>
          <w:szCs w:val="30"/>
        </w:rPr>
        <w:t>所有借出方同意</w:t>
      </w:r>
      <w:r>
        <w:rPr>
          <w:rFonts w:ascii="仿宋" w:eastAsia="仿宋" w:hAnsi="仿宋" w:cs="仿宋_GB2312" w:hint="eastAsia"/>
          <w:color w:val="000000"/>
          <w:kern w:val="0"/>
          <w:sz w:val="32"/>
          <w:szCs w:val="30"/>
        </w:rPr>
        <w:t>现金交割并确认收到相应资金后，上海清算所释放担保债券，借入方无需再</w:t>
      </w:r>
      <w:r>
        <w:rPr>
          <w:rFonts w:ascii="仿宋" w:eastAsia="仿宋" w:hAnsi="仿宋" w:cs="仿宋_GB2312"/>
          <w:color w:val="000000"/>
          <w:kern w:val="0"/>
          <w:sz w:val="32"/>
          <w:szCs w:val="30"/>
        </w:rPr>
        <w:t>进行</w:t>
      </w:r>
      <w:r>
        <w:rPr>
          <w:rFonts w:ascii="仿宋" w:eastAsia="仿宋" w:hAnsi="仿宋" w:cs="仿宋_GB2312" w:hint="eastAsia"/>
          <w:color w:val="000000"/>
          <w:kern w:val="0"/>
          <w:sz w:val="32"/>
          <w:szCs w:val="30"/>
        </w:rPr>
        <w:t>标的债券的到期归还和结算资金的支付。</w:t>
      </w:r>
    </w:p>
    <w:p w:rsidR="004A1C9D" w:rsidRDefault="00B678AF">
      <w:pPr>
        <w:pStyle w:val="a6"/>
        <w:numPr>
          <w:ilvl w:val="0"/>
          <w:numId w:val="1"/>
        </w:numPr>
        <w:adjustRightInd w:val="0"/>
        <w:snapToGrid w:val="0"/>
        <w:spacing w:line="580" w:lineRule="exact"/>
        <w:ind w:left="0" w:firstLine="640"/>
        <w:rPr>
          <w:rFonts w:ascii="仿宋" w:eastAsia="仿宋" w:hAnsi="仿宋" w:cs="仿宋_GB2312"/>
          <w:color w:val="000000"/>
          <w:kern w:val="0"/>
          <w:sz w:val="32"/>
          <w:szCs w:val="30"/>
        </w:rPr>
      </w:pPr>
      <w:r>
        <w:rPr>
          <w:rFonts w:ascii="仿宋" w:eastAsia="仿宋" w:hAnsi="仿宋" w:cs="仿宋_GB2312" w:hint="eastAsia"/>
          <w:color w:val="000000"/>
          <w:kern w:val="0"/>
          <w:sz w:val="32"/>
          <w:szCs w:val="30"/>
        </w:rPr>
        <w:t>到期结算日，借入方可提交展期申请</w:t>
      </w:r>
      <w:r>
        <w:rPr>
          <w:rFonts w:ascii="仿宋" w:eastAsia="仿宋" w:hAnsi="仿宋" w:cs="仿宋_GB2312"/>
          <w:color w:val="000000"/>
          <w:kern w:val="0"/>
          <w:sz w:val="32"/>
          <w:szCs w:val="30"/>
        </w:rPr>
        <w:t>。展期</w:t>
      </w:r>
      <w:r>
        <w:rPr>
          <w:rFonts w:ascii="仿宋" w:eastAsia="仿宋" w:hAnsi="仿宋" w:cs="仿宋_GB2312" w:hint="eastAsia"/>
          <w:color w:val="000000"/>
          <w:kern w:val="0"/>
          <w:sz w:val="32"/>
          <w:szCs w:val="30"/>
        </w:rPr>
        <w:t>申请</w:t>
      </w:r>
      <w:r>
        <w:rPr>
          <w:rFonts w:ascii="仿宋" w:eastAsia="仿宋" w:hAnsi="仿宋" w:cs="仿宋_GB2312"/>
          <w:color w:val="000000"/>
          <w:kern w:val="0"/>
          <w:sz w:val="32"/>
          <w:szCs w:val="30"/>
        </w:rPr>
        <w:t>需</w:t>
      </w:r>
      <w:r>
        <w:rPr>
          <w:rFonts w:ascii="仿宋" w:eastAsia="仿宋" w:hAnsi="仿宋" w:cs="仿宋_GB2312" w:hint="eastAsia"/>
          <w:color w:val="000000"/>
          <w:kern w:val="0"/>
          <w:sz w:val="32"/>
          <w:szCs w:val="30"/>
        </w:rPr>
        <w:t>借入方足额支付借贷费用并</w:t>
      </w:r>
      <w:r>
        <w:rPr>
          <w:rFonts w:ascii="仿宋" w:eastAsia="仿宋" w:hAnsi="仿宋" w:cs="仿宋_GB2312"/>
          <w:color w:val="000000"/>
          <w:kern w:val="0"/>
          <w:sz w:val="32"/>
          <w:szCs w:val="30"/>
        </w:rPr>
        <w:t>经</w:t>
      </w:r>
      <w:r>
        <w:rPr>
          <w:rFonts w:ascii="仿宋" w:eastAsia="仿宋" w:hAnsi="仿宋" w:cs="仿宋_GB2312"/>
          <w:color w:val="000000"/>
          <w:kern w:val="0"/>
          <w:sz w:val="32"/>
          <w:szCs w:val="30"/>
        </w:rPr>
        <w:t>过所有借出方确认同意方可</w:t>
      </w:r>
      <w:r>
        <w:rPr>
          <w:rFonts w:ascii="仿宋" w:eastAsia="仿宋" w:hAnsi="仿宋" w:cs="仿宋_GB2312" w:hint="eastAsia"/>
          <w:color w:val="000000"/>
          <w:kern w:val="0"/>
          <w:sz w:val="32"/>
          <w:szCs w:val="30"/>
        </w:rPr>
        <w:t>生效</w:t>
      </w:r>
      <w:r>
        <w:rPr>
          <w:rFonts w:ascii="仿宋" w:eastAsia="仿宋" w:hAnsi="仿宋" w:cs="仿宋_GB2312"/>
          <w:color w:val="000000"/>
          <w:kern w:val="0"/>
          <w:sz w:val="32"/>
          <w:szCs w:val="30"/>
        </w:rPr>
        <w:t>。</w:t>
      </w:r>
    </w:p>
    <w:p w:rsidR="004A1C9D" w:rsidRDefault="00B678AF">
      <w:pPr>
        <w:pStyle w:val="a6"/>
        <w:numPr>
          <w:ilvl w:val="0"/>
          <w:numId w:val="1"/>
        </w:numPr>
        <w:adjustRightInd w:val="0"/>
        <w:snapToGrid w:val="0"/>
        <w:spacing w:line="580" w:lineRule="exact"/>
        <w:ind w:left="0" w:firstLine="640"/>
        <w:rPr>
          <w:rFonts w:ascii="仿宋" w:eastAsia="仿宋" w:hAnsi="仿宋" w:cs="仿宋_GB2312"/>
          <w:color w:val="000000"/>
          <w:kern w:val="0"/>
          <w:sz w:val="32"/>
          <w:szCs w:val="30"/>
        </w:rPr>
      </w:pPr>
      <w:r>
        <w:rPr>
          <w:rFonts w:ascii="仿宋" w:eastAsia="仿宋" w:hAnsi="仿宋" w:cs="仿宋_GB2312" w:hint="eastAsia"/>
          <w:color w:val="000000"/>
          <w:kern w:val="0"/>
          <w:sz w:val="32"/>
          <w:szCs w:val="30"/>
        </w:rPr>
        <w:t>借贷存续期间，如果发生标的债券付息，利息归属于借出方。上海清算所于标的债券付息日自动将利息从借入方</w:t>
      </w:r>
      <w:r>
        <w:rPr>
          <w:rFonts w:ascii="仿宋" w:eastAsia="仿宋" w:hAnsi="仿宋" w:cs="仿宋_GB2312"/>
          <w:color w:val="000000"/>
          <w:kern w:val="0"/>
          <w:sz w:val="32"/>
          <w:szCs w:val="30"/>
        </w:rPr>
        <w:t>指定的资金账户</w:t>
      </w:r>
      <w:r>
        <w:rPr>
          <w:rFonts w:ascii="仿宋" w:eastAsia="仿宋" w:hAnsi="仿宋" w:cs="仿宋_GB2312" w:hint="eastAsia"/>
          <w:color w:val="000000"/>
          <w:kern w:val="0"/>
          <w:sz w:val="32"/>
          <w:szCs w:val="30"/>
        </w:rPr>
        <w:t>划转至</w:t>
      </w:r>
      <w:r>
        <w:rPr>
          <w:rFonts w:ascii="仿宋" w:eastAsia="仿宋" w:hAnsi="仿宋" w:cs="仿宋_GB2312"/>
          <w:color w:val="000000"/>
          <w:kern w:val="0"/>
          <w:sz w:val="32"/>
          <w:szCs w:val="30"/>
        </w:rPr>
        <w:t>借出方指定</w:t>
      </w:r>
      <w:r>
        <w:rPr>
          <w:rFonts w:ascii="仿宋" w:eastAsia="仿宋" w:hAnsi="仿宋" w:cs="仿宋_GB2312" w:hint="eastAsia"/>
          <w:color w:val="000000"/>
          <w:kern w:val="0"/>
          <w:sz w:val="32"/>
          <w:szCs w:val="30"/>
        </w:rPr>
        <w:t>的</w:t>
      </w:r>
      <w:r>
        <w:rPr>
          <w:rFonts w:ascii="仿宋" w:eastAsia="仿宋" w:hAnsi="仿宋" w:cs="仿宋_GB2312"/>
          <w:color w:val="000000"/>
          <w:kern w:val="0"/>
          <w:sz w:val="32"/>
          <w:szCs w:val="30"/>
        </w:rPr>
        <w:t>资金账户。</w:t>
      </w:r>
    </w:p>
    <w:p w:rsidR="004A1C9D" w:rsidRDefault="00B678AF">
      <w:pPr>
        <w:pStyle w:val="a6"/>
        <w:numPr>
          <w:ilvl w:val="0"/>
          <w:numId w:val="1"/>
        </w:numPr>
        <w:adjustRightInd w:val="0"/>
        <w:snapToGrid w:val="0"/>
        <w:spacing w:line="580" w:lineRule="exact"/>
        <w:ind w:left="0" w:firstLine="640"/>
        <w:rPr>
          <w:rFonts w:ascii="仿宋" w:eastAsia="仿宋" w:hAnsi="仿宋" w:cs="仿宋_GB2312"/>
          <w:color w:val="000000"/>
          <w:kern w:val="0"/>
          <w:sz w:val="32"/>
          <w:szCs w:val="30"/>
        </w:rPr>
      </w:pPr>
      <w:r>
        <w:rPr>
          <w:rFonts w:ascii="仿宋" w:eastAsia="仿宋" w:hAnsi="仿宋" w:cs="仿宋_GB2312" w:hint="eastAsia"/>
          <w:color w:val="000000"/>
          <w:kern w:val="0"/>
          <w:sz w:val="32"/>
          <w:szCs w:val="30"/>
        </w:rPr>
        <w:t>借入方发生以下情形之一的，上海清算所有权向借入方追加保证金：</w:t>
      </w:r>
    </w:p>
    <w:p w:rsidR="004A1C9D" w:rsidRDefault="00B678AF">
      <w:pPr>
        <w:pStyle w:val="a6"/>
        <w:adjustRightInd w:val="0"/>
        <w:snapToGrid w:val="0"/>
        <w:spacing w:line="580" w:lineRule="exact"/>
        <w:ind w:firstLine="640"/>
        <w:rPr>
          <w:rFonts w:ascii="仿宋" w:eastAsia="仿宋" w:hAnsi="仿宋" w:cs="仿宋_GB2312"/>
          <w:color w:val="000000"/>
          <w:kern w:val="0"/>
          <w:sz w:val="32"/>
          <w:szCs w:val="30"/>
        </w:rPr>
      </w:pPr>
      <w:r>
        <w:rPr>
          <w:rFonts w:ascii="仿宋" w:eastAsia="仿宋" w:hAnsi="仿宋" w:cs="仿宋_GB2312" w:hint="eastAsia"/>
          <w:color w:val="000000"/>
          <w:kern w:val="0"/>
          <w:sz w:val="32"/>
          <w:szCs w:val="30"/>
        </w:rPr>
        <w:lastRenderedPageBreak/>
        <w:t>（一）借入方担保债券</w:t>
      </w:r>
      <w:proofErr w:type="gramStart"/>
      <w:r>
        <w:rPr>
          <w:rFonts w:ascii="仿宋" w:eastAsia="仿宋" w:hAnsi="仿宋" w:cs="仿宋_GB2312" w:hint="eastAsia"/>
          <w:color w:val="000000"/>
          <w:kern w:val="0"/>
          <w:sz w:val="32"/>
          <w:szCs w:val="30"/>
        </w:rPr>
        <w:t>盯</w:t>
      </w:r>
      <w:proofErr w:type="gramEnd"/>
      <w:r>
        <w:rPr>
          <w:rFonts w:ascii="仿宋" w:eastAsia="仿宋" w:hAnsi="仿宋" w:cs="仿宋_GB2312" w:hint="eastAsia"/>
          <w:color w:val="000000"/>
          <w:kern w:val="0"/>
          <w:sz w:val="32"/>
          <w:szCs w:val="30"/>
        </w:rPr>
        <w:t>市价值不足；</w:t>
      </w:r>
    </w:p>
    <w:p w:rsidR="004A1C9D" w:rsidRDefault="00B678AF">
      <w:pPr>
        <w:pStyle w:val="a6"/>
        <w:adjustRightInd w:val="0"/>
        <w:snapToGrid w:val="0"/>
        <w:spacing w:line="580" w:lineRule="exact"/>
        <w:ind w:firstLine="640"/>
        <w:rPr>
          <w:rFonts w:ascii="仿宋" w:eastAsia="仿宋" w:hAnsi="仿宋" w:cs="仿宋_GB2312"/>
          <w:color w:val="000000"/>
          <w:kern w:val="0"/>
          <w:sz w:val="32"/>
          <w:szCs w:val="30"/>
        </w:rPr>
      </w:pPr>
      <w:r>
        <w:rPr>
          <w:rFonts w:ascii="仿宋" w:eastAsia="仿宋" w:hAnsi="仿宋" w:cs="仿宋_GB2312" w:hint="eastAsia"/>
          <w:color w:val="000000"/>
          <w:kern w:val="0"/>
          <w:sz w:val="32"/>
          <w:szCs w:val="30"/>
        </w:rPr>
        <w:t>（二）借入方资信状况</w:t>
      </w:r>
      <w:r>
        <w:rPr>
          <w:rFonts w:ascii="仿宋" w:eastAsia="仿宋" w:hAnsi="仿宋" w:cs="仿宋_GB2312"/>
          <w:color w:val="000000"/>
          <w:kern w:val="0"/>
          <w:sz w:val="32"/>
          <w:szCs w:val="30"/>
        </w:rPr>
        <w:t>恶化</w:t>
      </w:r>
      <w:r>
        <w:rPr>
          <w:rFonts w:ascii="仿宋" w:eastAsia="仿宋" w:hAnsi="仿宋" w:cs="仿宋_GB2312" w:hint="eastAsia"/>
          <w:color w:val="000000"/>
          <w:kern w:val="0"/>
          <w:sz w:val="32"/>
          <w:szCs w:val="30"/>
        </w:rPr>
        <w:t>；</w:t>
      </w:r>
    </w:p>
    <w:p w:rsidR="004A1C9D" w:rsidRDefault="00B678AF">
      <w:pPr>
        <w:adjustRightInd w:val="0"/>
        <w:snapToGrid w:val="0"/>
        <w:spacing w:line="580" w:lineRule="exact"/>
        <w:ind w:firstLineChars="200" w:firstLine="640"/>
        <w:rPr>
          <w:rFonts w:ascii="仿宋" w:eastAsia="仿宋" w:hAnsi="仿宋" w:cs="仿宋_GB2312"/>
          <w:color w:val="000000"/>
          <w:kern w:val="0"/>
          <w:sz w:val="32"/>
          <w:szCs w:val="30"/>
        </w:rPr>
      </w:pPr>
      <w:r>
        <w:rPr>
          <w:rFonts w:ascii="仿宋" w:eastAsia="仿宋" w:hAnsi="仿宋" w:cs="仿宋_GB2312" w:hint="eastAsia"/>
          <w:color w:val="000000"/>
          <w:kern w:val="0"/>
          <w:sz w:val="32"/>
          <w:szCs w:val="30"/>
        </w:rPr>
        <w:t>（三）借入方融入标的债券的余额或集中度过大；</w:t>
      </w:r>
    </w:p>
    <w:p w:rsidR="004A1C9D" w:rsidRDefault="00B678AF">
      <w:pPr>
        <w:adjustRightInd w:val="0"/>
        <w:snapToGrid w:val="0"/>
        <w:spacing w:line="580" w:lineRule="exact"/>
        <w:ind w:firstLineChars="200" w:firstLine="640"/>
        <w:rPr>
          <w:rFonts w:ascii="仿宋" w:eastAsia="仿宋" w:hAnsi="仿宋" w:cs="仿宋_GB2312"/>
          <w:color w:val="000000"/>
          <w:kern w:val="0"/>
          <w:sz w:val="32"/>
          <w:szCs w:val="30"/>
        </w:rPr>
      </w:pPr>
      <w:r>
        <w:rPr>
          <w:rFonts w:ascii="仿宋" w:eastAsia="仿宋" w:hAnsi="仿宋" w:cs="仿宋_GB2312" w:hint="eastAsia"/>
          <w:color w:val="000000"/>
          <w:kern w:val="0"/>
          <w:sz w:val="32"/>
          <w:szCs w:val="30"/>
        </w:rPr>
        <w:t>（四）上海清算所认定的其他情形。</w:t>
      </w:r>
    </w:p>
    <w:p w:rsidR="004A1C9D" w:rsidRDefault="00B678AF">
      <w:pPr>
        <w:pStyle w:val="a6"/>
        <w:numPr>
          <w:ilvl w:val="0"/>
          <w:numId w:val="1"/>
        </w:numPr>
        <w:adjustRightInd w:val="0"/>
        <w:snapToGrid w:val="0"/>
        <w:spacing w:line="580" w:lineRule="exact"/>
        <w:ind w:left="0" w:firstLine="640"/>
        <w:rPr>
          <w:rFonts w:ascii="仿宋" w:eastAsia="仿宋" w:hAnsi="仿宋" w:cs="仿宋_GB2312"/>
          <w:color w:val="000000"/>
          <w:kern w:val="0"/>
          <w:sz w:val="32"/>
          <w:szCs w:val="30"/>
        </w:rPr>
      </w:pPr>
      <w:r>
        <w:rPr>
          <w:rFonts w:ascii="仿宋" w:eastAsia="仿宋" w:hAnsi="仿宋" w:cs="仿宋_GB2312" w:hint="eastAsia"/>
          <w:color w:val="000000"/>
          <w:kern w:val="0"/>
          <w:sz w:val="32"/>
          <w:szCs w:val="30"/>
        </w:rPr>
        <w:t>借入方发生以下情形的，构成对上海清算所违约：</w:t>
      </w:r>
    </w:p>
    <w:p w:rsidR="004A1C9D" w:rsidRDefault="00B678AF">
      <w:pPr>
        <w:pStyle w:val="a6"/>
        <w:adjustRightInd w:val="0"/>
        <w:snapToGrid w:val="0"/>
        <w:spacing w:line="580" w:lineRule="exact"/>
        <w:ind w:firstLine="640"/>
        <w:rPr>
          <w:rFonts w:ascii="仿宋" w:eastAsia="仿宋" w:hAnsi="仿宋" w:cs="仿宋_GB2312"/>
          <w:color w:val="000000"/>
          <w:kern w:val="0"/>
          <w:sz w:val="32"/>
          <w:szCs w:val="30"/>
        </w:rPr>
      </w:pPr>
      <w:r>
        <w:rPr>
          <w:rFonts w:ascii="仿宋" w:eastAsia="仿宋" w:hAnsi="仿宋" w:cs="仿宋_GB2312" w:hint="eastAsia"/>
          <w:color w:val="000000"/>
          <w:kern w:val="0"/>
          <w:sz w:val="32"/>
          <w:szCs w:val="30"/>
        </w:rPr>
        <w:t>（一）到期结算</w:t>
      </w:r>
      <w:r>
        <w:rPr>
          <w:rFonts w:ascii="仿宋" w:eastAsia="仿宋" w:hAnsi="仿宋" w:cs="仿宋_GB2312"/>
          <w:color w:val="000000"/>
          <w:kern w:val="0"/>
          <w:sz w:val="32"/>
          <w:szCs w:val="30"/>
        </w:rPr>
        <w:t>违约：</w:t>
      </w:r>
      <w:r>
        <w:rPr>
          <w:rFonts w:ascii="仿宋" w:eastAsia="仿宋" w:hAnsi="仿宋" w:cs="仿宋_GB2312" w:hint="eastAsia"/>
          <w:color w:val="000000"/>
          <w:kern w:val="0"/>
          <w:sz w:val="32"/>
          <w:szCs w:val="30"/>
        </w:rPr>
        <w:t>到期</w:t>
      </w:r>
      <w:r>
        <w:rPr>
          <w:rFonts w:ascii="仿宋" w:eastAsia="仿宋" w:hAnsi="仿宋" w:cs="仿宋_GB2312"/>
          <w:color w:val="000000"/>
          <w:kern w:val="0"/>
          <w:sz w:val="32"/>
          <w:szCs w:val="30"/>
        </w:rPr>
        <w:t>结算日</w:t>
      </w:r>
      <w:r>
        <w:rPr>
          <w:rFonts w:ascii="仿宋" w:eastAsia="仿宋" w:hAnsi="仿宋" w:cs="仿宋_GB2312" w:hint="eastAsia"/>
          <w:color w:val="000000"/>
          <w:kern w:val="0"/>
          <w:sz w:val="32"/>
          <w:szCs w:val="30"/>
        </w:rPr>
        <w:t>规定</w:t>
      </w:r>
      <w:r>
        <w:rPr>
          <w:rFonts w:ascii="仿宋" w:eastAsia="仿宋" w:hAnsi="仿宋" w:cs="仿宋_GB2312"/>
          <w:color w:val="000000"/>
          <w:kern w:val="0"/>
          <w:sz w:val="32"/>
          <w:szCs w:val="30"/>
        </w:rPr>
        <w:t>时点前</w:t>
      </w:r>
      <w:r>
        <w:rPr>
          <w:rFonts w:ascii="仿宋" w:eastAsia="仿宋" w:hAnsi="仿宋" w:cs="仿宋_GB2312" w:hint="eastAsia"/>
          <w:color w:val="000000"/>
          <w:kern w:val="0"/>
          <w:sz w:val="32"/>
          <w:szCs w:val="30"/>
        </w:rPr>
        <w:t>，借入方债券账户中标的债券可用余额不足或资金</w:t>
      </w:r>
      <w:r>
        <w:rPr>
          <w:rFonts w:ascii="仿宋" w:eastAsia="仿宋" w:hAnsi="仿宋" w:cs="仿宋_GB2312"/>
          <w:color w:val="000000"/>
          <w:kern w:val="0"/>
          <w:sz w:val="32"/>
          <w:szCs w:val="30"/>
        </w:rPr>
        <w:t>结算</w:t>
      </w:r>
      <w:r>
        <w:rPr>
          <w:rFonts w:ascii="仿宋" w:eastAsia="仿宋" w:hAnsi="仿宋" w:cs="仿宋_GB2312" w:hint="eastAsia"/>
          <w:color w:val="000000"/>
          <w:kern w:val="0"/>
          <w:sz w:val="32"/>
          <w:szCs w:val="30"/>
        </w:rPr>
        <w:t>账</w:t>
      </w:r>
      <w:r>
        <w:rPr>
          <w:rFonts w:ascii="仿宋" w:eastAsia="仿宋" w:hAnsi="仿宋" w:cs="仿宋_GB2312"/>
          <w:color w:val="000000"/>
          <w:kern w:val="0"/>
          <w:sz w:val="32"/>
          <w:szCs w:val="30"/>
        </w:rPr>
        <w:t>户</w:t>
      </w:r>
      <w:r>
        <w:rPr>
          <w:rFonts w:ascii="仿宋" w:eastAsia="仿宋" w:hAnsi="仿宋" w:cs="仿宋_GB2312" w:hint="eastAsia"/>
          <w:color w:val="000000"/>
          <w:kern w:val="0"/>
          <w:sz w:val="32"/>
          <w:szCs w:val="30"/>
        </w:rPr>
        <w:t>中资金不足，导致</w:t>
      </w:r>
      <w:r>
        <w:rPr>
          <w:rFonts w:ascii="仿宋" w:eastAsia="仿宋" w:hAnsi="仿宋" w:cs="仿宋_GB2312"/>
          <w:color w:val="000000"/>
          <w:kern w:val="0"/>
          <w:sz w:val="32"/>
          <w:szCs w:val="30"/>
        </w:rPr>
        <w:t>到期</w:t>
      </w:r>
      <w:r>
        <w:rPr>
          <w:rFonts w:ascii="仿宋" w:eastAsia="仿宋" w:hAnsi="仿宋" w:cs="仿宋_GB2312" w:hint="eastAsia"/>
          <w:color w:val="000000"/>
          <w:kern w:val="0"/>
          <w:sz w:val="32"/>
          <w:szCs w:val="30"/>
        </w:rPr>
        <w:t>结算</w:t>
      </w:r>
      <w:r>
        <w:rPr>
          <w:rFonts w:ascii="仿宋" w:eastAsia="仿宋" w:hAnsi="仿宋" w:cs="仿宋_GB2312"/>
          <w:color w:val="000000"/>
          <w:kern w:val="0"/>
          <w:sz w:val="32"/>
          <w:szCs w:val="30"/>
        </w:rPr>
        <w:t>失败</w:t>
      </w:r>
      <w:r>
        <w:rPr>
          <w:rFonts w:ascii="仿宋" w:eastAsia="仿宋" w:hAnsi="仿宋" w:cs="仿宋_GB2312" w:hint="eastAsia"/>
          <w:color w:val="000000"/>
          <w:kern w:val="0"/>
          <w:sz w:val="32"/>
          <w:szCs w:val="30"/>
        </w:rPr>
        <w:t>；</w:t>
      </w:r>
    </w:p>
    <w:p w:rsidR="004A1C9D" w:rsidRDefault="00B678AF">
      <w:pPr>
        <w:pStyle w:val="a6"/>
        <w:adjustRightInd w:val="0"/>
        <w:snapToGrid w:val="0"/>
        <w:spacing w:line="580" w:lineRule="exact"/>
        <w:ind w:firstLine="640"/>
        <w:rPr>
          <w:rFonts w:ascii="仿宋" w:eastAsia="仿宋" w:hAnsi="仿宋" w:cs="仿宋_GB2312"/>
          <w:color w:val="000000"/>
          <w:kern w:val="0"/>
          <w:sz w:val="32"/>
          <w:szCs w:val="30"/>
        </w:rPr>
      </w:pPr>
      <w:r>
        <w:rPr>
          <w:rFonts w:ascii="仿宋" w:eastAsia="仿宋" w:hAnsi="仿宋" w:cs="仿宋_GB2312" w:hint="eastAsia"/>
          <w:color w:val="000000"/>
          <w:kern w:val="0"/>
          <w:sz w:val="32"/>
          <w:szCs w:val="30"/>
        </w:rPr>
        <w:t>（二）利息偿还违约：收息</w:t>
      </w:r>
      <w:r>
        <w:rPr>
          <w:rFonts w:ascii="仿宋" w:eastAsia="仿宋" w:hAnsi="仿宋" w:cs="仿宋_GB2312"/>
          <w:color w:val="000000"/>
          <w:kern w:val="0"/>
          <w:sz w:val="32"/>
          <w:szCs w:val="30"/>
        </w:rPr>
        <w:t>截止时点前</w:t>
      </w:r>
      <w:r>
        <w:rPr>
          <w:rFonts w:ascii="仿宋" w:eastAsia="仿宋" w:hAnsi="仿宋" w:cs="仿宋_GB2312" w:hint="eastAsia"/>
          <w:color w:val="000000"/>
          <w:kern w:val="0"/>
          <w:sz w:val="32"/>
          <w:szCs w:val="30"/>
        </w:rPr>
        <w:t>，</w:t>
      </w:r>
      <w:r>
        <w:rPr>
          <w:rFonts w:ascii="仿宋" w:eastAsia="仿宋" w:hAnsi="仿宋" w:cs="仿宋_GB2312"/>
          <w:color w:val="000000"/>
          <w:kern w:val="0"/>
          <w:sz w:val="32"/>
          <w:szCs w:val="30"/>
        </w:rPr>
        <w:t>借入方资金结算账户中资金不足</w:t>
      </w:r>
      <w:r>
        <w:rPr>
          <w:rFonts w:ascii="仿宋" w:eastAsia="仿宋" w:hAnsi="仿宋" w:cs="仿宋_GB2312" w:hint="eastAsia"/>
          <w:color w:val="000000"/>
          <w:kern w:val="0"/>
          <w:sz w:val="32"/>
          <w:szCs w:val="30"/>
        </w:rPr>
        <w:t>，</w:t>
      </w:r>
      <w:r>
        <w:rPr>
          <w:rFonts w:ascii="仿宋" w:eastAsia="仿宋" w:hAnsi="仿宋" w:cs="仿宋_GB2312"/>
          <w:color w:val="000000"/>
          <w:kern w:val="0"/>
          <w:sz w:val="32"/>
          <w:szCs w:val="30"/>
        </w:rPr>
        <w:t>导致未能足额</w:t>
      </w:r>
      <w:r>
        <w:rPr>
          <w:rFonts w:ascii="仿宋" w:eastAsia="仿宋" w:hAnsi="仿宋" w:cs="仿宋_GB2312" w:hint="eastAsia"/>
          <w:color w:val="000000"/>
          <w:kern w:val="0"/>
          <w:sz w:val="32"/>
          <w:szCs w:val="30"/>
        </w:rPr>
        <w:t>支付标的债券相应</w:t>
      </w:r>
      <w:r>
        <w:rPr>
          <w:rFonts w:ascii="仿宋" w:eastAsia="仿宋" w:hAnsi="仿宋" w:cs="仿宋_GB2312"/>
          <w:color w:val="000000"/>
          <w:kern w:val="0"/>
          <w:sz w:val="32"/>
          <w:szCs w:val="30"/>
        </w:rPr>
        <w:t>利息</w:t>
      </w:r>
      <w:r>
        <w:rPr>
          <w:rFonts w:ascii="仿宋" w:eastAsia="仿宋" w:hAnsi="仿宋" w:cs="仿宋_GB2312" w:hint="eastAsia"/>
          <w:color w:val="000000"/>
          <w:kern w:val="0"/>
          <w:sz w:val="32"/>
          <w:szCs w:val="30"/>
        </w:rPr>
        <w:t>；</w:t>
      </w:r>
    </w:p>
    <w:p w:rsidR="004A1C9D" w:rsidRDefault="00B678AF">
      <w:pPr>
        <w:pStyle w:val="a6"/>
        <w:adjustRightInd w:val="0"/>
        <w:snapToGrid w:val="0"/>
        <w:spacing w:line="580" w:lineRule="exact"/>
        <w:ind w:firstLine="640"/>
        <w:rPr>
          <w:rFonts w:ascii="仿宋" w:eastAsia="仿宋" w:hAnsi="仿宋" w:cs="仿宋_GB2312"/>
          <w:color w:val="000000"/>
          <w:kern w:val="0"/>
          <w:sz w:val="32"/>
          <w:szCs w:val="30"/>
        </w:rPr>
      </w:pPr>
      <w:r>
        <w:rPr>
          <w:rFonts w:ascii="仿宋" w:eastAsia="仿宋" w:hAnsi="仿宋" w:cs="仿宋_GB2312" w:hint="eastAsia"/>
          <w:color w:val="000000"/>
          <w:kern w:val="0"/>
          <w:sz w:val="32"/>
          <w:szCs w:val="30"/>
        </w:rPr>
        <w:t>（三）保证金等风险准备资源追缴</w:t>
      </w:r>
      <w:r>
        <w:rPr>
          <w:rFonts w:ascii="仿宋" w:eastAsia="仿宋" w:hAnsi="仿宋" w:cs="仿宋_GB2312"/>
          <w:color w:val="000000"/>
          <w:kern w:val="0"/>
          <w:sz w:val="32"/>
          <w:szCs w:val="30"/>
        </w:rPr>
        <w:t>违约：</w:t>
      </w:r>
      <w:r>
        <w:rPr>
          <w:rFonts w:ascii="仿宋" w:eastAsia="仿宋" w:hAnsi="仿宋" w:cs="仿宋_GB2312" w:hint="eastAsia"/>
          <w:color w:val="000000"/>
          <w:kern w:val="0"/>
          <w:sz w:val="32"/>
          <w:szCs w:val="30"/>
        </w:rPr>
        <w:t>上海清算所</w:t>
      </w:r>
      <w:r>
        <w:rPr>
          <w:rFonts w:ascii="仿宋" w:eastAsia="仿宋" w:hAnsi="仿宋" w:cs="仿宋_GB2312"/>
          <w:color w:val="000000"/>
          <w:kern w:val="0"/>
          <w:sz w:val="32"/>
          <w:szCs w:val="30"/>
        </w:rPr>
        <w:t>发出</w:t>
      </w:r>
      <w:r>
        <w:rPr>
          <w:rFonts w:ascii="仿宋" w:eastAsia="仿宋" w:hAnsi="仿宋" w:cs="仿宋_GB2312" w:hint="eastAsia"/>
          <w:color w:val="000000"/>
          <w:kern w:val="0"/>
          <w:sz w:val="32"/>
          <w:szCs w:val="30"/>
        </w:rPr>
        <w:t>保证金、清算基金</w:t>
      </w:r>
      <w:r>
        <w:rPr>
          <w:rFonts w:ascii="仿宋" w:eastAsia="仿宋" w:hAnsi="仿宋" w:cs="仿宋_GB2312"/>
          <w:color w:val="000000"/>
          <w:kern w:val="0"/>
          <w:sz w:val="32"/>
          <w:szCs w:val="30"/>
        </w:rPr>
        <w:t>追缴通知后，借入方未在规定</w:t>
      </w:r>
      <w:r>
        <w:rPr>
          <w:rFonts w:ascii="仿宋" w:eastAsia="仿宋" w:hAnsi="仿宋" w:cs="仿宋_GB2312" w:hint="eastAsia"/>
          <w:color w:val="000000"/>
          <w:kern w:val="0"/>
          <w:sz w:val="32"/>
          <w:szCs w:val="30"/>
        </w:rPr>
        <w:t>时间内</w:t>
      </w:r>
      <w:r>
        <w:rPr>
          <w:rFonts w:ascii="仿宋" w:eastAsia="仿宋" w:hAnsi="仿宋" w:cs="仿宋_GB2312"/>
          <w:color w:val="000000"/>
          <w:kern w:val="0"/>
          <w:sz w:val="32"/>
          <w:szCs w:val="30"/>
        </w:rPr>
        <w:t>足额</w:t>
      </w:r>
      <w:r>
        <w:rPr>
          <w:rFonts w:ascii="仿宋" w:eastAsia="仿宋" w:hAnsi="仿宋" w:cs="仿宋_GB2312" w:hint="eastAsia"/>
          <w:color w:val="000000"/>
          <w:kern w:val="0"/>
          <w:sz w:val="32"/>
          <w:szCs w:val="30"/>
        </w:rPr>
        <w:t>交纳</w:t>
      </w:r>
      <w:r>
        <w:rPr>
          <w:rFonts w:ascii="仿宋" w:eastAsia="仿宋" w:hAnsi="仿宋" w:cs="仿宋_GB2312"/>
          <w:color w:val="000000"/>
          <w:kern w:val="0"/>
          <w:sz w:val="32"/>
          <w:szCs w:val="30"/>
        </w:rPr>
        <w:t>，导致追缴失败</w:t>
      </w:r>
      <w:r>
        <w:rPr>
          <w:rFonts w:ascii="仿宋" w:eastAsia="仿宋" w:hAnsi="仿宋" w:cs="仿宋_GB2312" w:hint="eastAsia"/>
          <w:color w:val="000000"/>
          <w:kern w:val="0"/>
          <w:sz w:val="32"/>
          <w:szCs w:val="30"/>
        </w:rPr>
        <w:t>；</w:t>
      </w:r>
    </w:p>
    <w:p w:rsidR="004A1C9D" w:rsidRDefault="00B678AF">
      <w:pPr>
        <w:pStyle w:val="a6"/>
        <w:adjustRightInd w:val="0"/>
        <w:snapToGrid w:val="0"/>
        <w:spacing w:line="580" w:lineRule="exact"/>
        <w:ind w:firstLine="640"/>
        <w:rPr>
          <w:rFonts w:ascii="仿宋" w:eastAsia="仿宋" w:hAnsi="仿宋" w:cs="仿宋_GB2312"/>
          <w:color w:val="000000"/>
          <w:kern w:val="0"/>
          <w:sz w:val="32"/>
          <w:szCs w:val="30"/>
        </w:rPr>
      </w:pPr>
      <w:r>
        <w:rPr>
          <w:rFonts w:ascii="仿宋" w:eastAsia="仿宋" w:hAnsi="仿宋" w:cs="仿宋_GB2312" w:hint="eastAsia"/>
          <w:color w:val="000000"/>
          <w:kern w:val="0"/>
          <w:sz w:val="32"/>
          <w:szCs w:val="30"/>
        </w:rPr>
        <w:t>（</w:t>
      </w:r>
      <w:r>
        <w:rPr>
          <w:rFonts w:ascii="仿宋" w:eastAsia="仿宋" w:hAnsi="仿宋" w:cs="仿宋_GB2312"/>
          <w:color w:val="000000"/>
          <w:kern w:val="0"/>
          <w:sz w:val="32"/>
          <w:szCs w:val="30"/>
        </w:rPr>
        <w:t>四</w:t>
      </w:r>
      <w:r>
        <w:rPr>
          <w:rFonts w:ascii="仿宋" w:eastAsia="仿宋" w:hAnsi="仿宋" w:cs="仿宋_GB2312" w:hint="eastAsia"/>
          <w:color w:val="000000"/>
          <w:kern w:val="0"/>
          <w:sz w:val="32"/>
          <w:szCs w:val="30"/>
        </w:rPr>
        <w:t>）上海清算所认定</w:t>
      </w:r>
      <w:r>
        <w:rPr>
          <w:rFonts w:ascii="仿宋" w:eastAsia="仿宋" w:hAnsi="仿宋" w:cs="仿宋_GB2312"/>
          <w:color w:val="000000"/>
          <w:kern w:val="0"/>
          <w:sz w:val="32"/>
          <w:szCs w:val="30"/>
        </w:rPr>
        <w:t>的其他违约情形</w:t>
      </w:r>
      <w:r>
        <w:rPr>
          <w:rFonts w:ascii="仿宋" w:eastAsia="仿宋" w:hAnsi="仿宋" w:cs="仿宋_GB2312" w:hint="eastAsia"/>
          <w:color w:val="000000"/>
          <w:kern w:val="0"/>
          <w:sz w:val="32"/>
          <w:szCs w:val="30"/>
        </w:rPr>
        <w:t>。</w:t>
      </w:r>
    </w:p>
    <w:p w:rsidR="004A1C9D" w:rsidRDefault="00B678AF">
      <w:pPr>
        <w:pStyle w:val="a6"/>
        <w:numPr>
          <w:ilvl w:val="0"/>
          <w:numId w:val="1"/>
        </w:numPr>
        <w:adjustRightInd w:val="0"/>
        <w:snapToGrid w:val="0"/>
        <w:spacing w:line="580" w:lineRule="exact"/>
        <w:ind w:left="0" w:firstLine="640"/>
        <w:rPr>
          <w:rFonts w:ascii="仿宋" w:eastAsia="仿宋" w:hAnsi="仿宋" w:cs="仿宋_GB2312"/>
          <w:color w:val="000000"/>
          <w:kern w:val="0"/>
          <w:sz w:val="32"/>
          <w:szCs w:val="30"/>
        </w:rPr>
      </w:pPr>
      <w:r>
        <w:rPr>
          <w:rFonts w:ascii="仿宋" w:eastAsia="仿宋" w:hAnsi="仿宋" w:cs="仿宋_GB2312" w:hint="eastAsia"/>
          <w:color w:val="000000"/>
          <w:kern w:val="0"/>
          <w:sz w:val="32"/>
          <w:szCs w:val="30"/>
        </w:rPr>
        <w:t>借入方</w:t>
      </w:r>
      <w:r>
        <w:rPr>
          <w:rFonts w:ascii="仿宋" w:eastAsia="仿宋" w:hAnsi="仿宋" w:cs="仿宋_GB2312"/>
          <w:color w:val="000000"/>
          <w:kern w:val="0"/>
          <w:sz w:val="32"/>
          <w:szCs w:val="30"/>
        </w:rPr>
        <w:t>发生违约的，</w:t>
      </w:r>
      <w:r>
        <w:rPr>
          <w:rFonts w:ascii="仿宋" w:eastAsia="仿宋" w:hAnsi="仿宋" w:cs="仿宋_GB2312" w:hint="eastAsia"/>
          <w:color w:val="000000"/>
          <w:kern w:val="0"/>
          <w:sz w:val="32"/>
          <w:szCs w:val="30"/>
        </w:rPr>
        <w:t>上海清算所</w:t>
      </w:r>
      <w:r>
        <w:rPr>
          <w:rFonts w:ascii="仿宋" w:eastAsia="仿宋" w:hAnsi="仿宋" w:cs="仿宋_GB2312"/>
          <w:color w:val="000000"/>
          <w:kern w:val="0"/>
          <w:sz w:val="32"/>
          <w:szCs w:val="30"/>
        </w:rPr>
        <w:t>有权采取以下措施：</w:t>
      </w:r>
    </w:p>
    <w:p w:rsidR="004A1C9D" w:rsidRDefault="00B678AF">
      <w:pPr>
        <w:pStyle w:val="a6"/>
        <w:adjustRightInd w:val="0"/>
        <w:snapToGrid w:val="0"/>
        <w:spacing w:line="580" w:lineRule="exact"/>
        <w:ind w:firstLine="640"/>
        <w:rPr>
          <w:rFonts w:ascii="仿宋" w:eastAsia="仿宋" w:hAnsi="仿宋" w:cs="仿宋_GB2312"/>
          <w:color w:val="000000"/>
          <w:kern w:val="0"/>
          <w:sz w:val="32"/>
          <w:szCs w:val="30"/>
        </w:rPr>
      </w:pPr>
      <w:r>
        <w:rPr>
          <w:rFonts w:ascii="仿宋" w:eastAsia="仿宋" w:hAnsi="仿宋" w:cs="仿宋_GB2312" w:hint="eastAsia"/>
          <w:color w:val="000000"/>
          <w:kern w:val="0"/>
          <w:sz w:val="32"/>
          <w:szCs w:val="30"/>
        </w:rPr>
        <w:t>（一</w:t>
      </w:r>
      <w:r>
        <w:rPr>
          <w:rFonts w:ascii="仿宋" w:eastAsia="仿宋" w:hAnsi="仿宋" w:cs="仿宋_GB2312"/>
          <w:color w:val="000000"/>
          <w:kern w:val="0"/>
          <w:sz w:val="32"/>
          <w:szCs w:val="30"/>
        </w:rPr>
        <w:t>）</w:t>
      </w:r>
      <w:r>
        <w:rPr>
          <w:rFonts w:ascii="仿宋" w:eastAsia="仿宋" w:hAnsi="仿宋" w:cs="仿宋_GB2312" w:hint="eastAsia"/>
          <w:color w:val="000000"/>
          <w:kern w:val="0"/>
          <w:sz w:val="32"/>
          <w:szCs w:val="30"/>
        </w:rPr>
        <w:t>限制、暂停或终止违约借入方参与中央债券借贷</w:t>
      </w:r>
      <w:r>
        <w:rPr>
          <w:rFonts w:ascii="仿宋" w:eastAsia="仿宋" w:hAnsi="仿宋" w:cs="仿宋_GB2312"/>
          <w:color w:val="000000"/>
          <w:kern w:val="0"/>
          <w:sz w:val="32"/>
          <w:szCs w:val="30"/>
        </w:rPr>
        <w:t>业务</w:t>
      </w:r>
      <w:r>
        <w:rPr>
          <w:rFonts w:ascii="仿宋" w:eastAsia="仿宋" w:hAnsi="仿宋" w:cs="仿宋_GB2312" w:hint="eastAsia"/>
          <w:color w:val="000000"/>
          <w:kern w:val="0"/>
          <w:sz w:val="32"/>
          <w:szCs w:val="30"/>
        </w:rPr>
        <w:t>；</w:t>
      </w:r>
    </w:p>
    <w:p w:rsidR="004A1C9D" w:rsidRDefault="00B678AF">
      <w:pPr>
        <w:pStyle w:val="a6"/>
        <w:adjustRightInd w:val="0"/>
        <w:snapToGrid w:val="0"/>
        <w:spacing w:line="580" w:lineRule="exact"/>
        <w:ind w:firstLine="640"/>
        <w:rPr>
          <w:rFonts w:ascii="仿宋" w:eastAsia="仿宋" w:hAnsi="仿宋" w:cs="仿宋_GB2312"/>
          <w:color w:val="000000"/>
          <w:kern w:val="0"/>
          <w:sz w:val="32"/>
          <w:szCs w:val="30"/>
        </w:rPr>
      </w:pPr>
      <w:r>
        <w:rPr>
          <w:rFonts w:ascii="仿宋" w:eastAsia="仿宋" w:hAnsi="仿宋" w:cs="仿宋_GB2312" w:hint="eastAsia"/>
          <w:color w:val="000000"/>
          <w:kern w:val="0"/>
          <w:sz w:val="32"/>
          <w:szCs w:val="30"/>
        </w:rPr>
        <w:t>（二</w:t>
      </w:r>
      <w:r>
        <w:rPr>
          <w:rFonts w:ascii="仿宋" w:eastAsia="仿宋" w:hAnsi="仿宋" w:cs="仿宋_GB2312"/>
          <w:color w:val="000000"/>
          <w:kern w:val="0"/>
          <w:sz w:val="32"/>
          <w:szCs w:val="30"/>
        </w:rPr>
        <w:t>）</w:t>
      </w:r>
      <w:r>
        <w:rPr>
          <w:rFonts w:ascii="仿宋" w:eastAsia="仿宋" w:hAnsi="仿宋" w:cs="仿宋_GB2312" w:hint="eastAsia"/>
          <w:color w:val="000000"/>
          <w:kern w:val="0"/>
          <w:sz w:val="32"/>
          <w:szCs w:val="30"/>
        </w:rPr>
        <w:t>冻结违约借入方</w:t>
      </w:r>
      <w:r>
        <w:rPr>
          <w:rFonts w:ascii="仿宋" w:eastAsia="仿宋" w:hAnsi="仿宋" w:cs="仿宋_GB2312"/>
          <w:color w:val="000000"/>
          <w:kern w:val="0"/>
          <w:sz w:val="32"/>
          <w:szCs w:val="30"/>
        </w:rPr>
        <w:t>提交的</w:t>
      </w:r>
      <w:r>
        <w:rPr>
          <w:rFonts w:ascii="仿宋" w:eastAsia="仿宋" w:hAnsi="仿宋" w:cs="仿宋_GB2312" w:hint="eastAsia"/>
          <w:color w:val="000000"/>
          <w:kern w:val="0"/>
          <w:sz w:val="32"/>
          <w:szCs w:val="30"/>
        </w:rPr>
        <w:t>担保债券</w:t>
      </w:r>
      <w:r>
        <w:rPr>
          <w:rFonts w:ascii="仿宋" w:eastAsia="仿宋" w:hAnsi="仿宋" w:cs="仿宋_GB2312"/>
          <w:color w:val="000000"/>
          <w:kern w:val="0"/>
          <w:sz w:val="32"/>
          <w:szCs w:val="30"/>
        </w:rPr>
        <w:t>以及</w:t>
      </w:r>
      <w:r>
        <w:rPr>
          <w:rFonts w:ascii="仿宋" w:eastAsia="仿宋" w:hAnsi="仿宋" w:cs="仿宋_GB2312" w:hint="eastAsia"/>
          <w:color w:val="000000"/>
          <w:kern w:val="0"/>
          <w:sz w:val="32"/>
          <w:szCs w:val="30"/>
        </w:rPr>
        <w:t>保证金、清算基金；</w:t>
      </w:r>
    </w:p>
    <w:p w:rsidR="004A1C9D" w:rsidRDefault="00B678AF">
      <w:pPr>
        <w:pStyle w:val="a6"/>
        <w:adjustRightInd w:val="0"/>
        <w:snapToGrid w:val="0"/>
        <w:spacing w:line="580" w:lineRule="exact"/>
        <w:ind w:firstLine="640"/>
        <w:rPr>
          <w:rFonts w:ascii="仿宋" w:eastAsia="仿宋" w:hAnsi="仿宋" w:cs="仿宋_GB2312"/>
          <w:color w:val="000000"/>
          <w:kern w:val="0"/>
          <w:sz w:val="32"/>
          <w:szCs w:val="30"/>
        </w:rPr>
      </w:pPr>
      <w:r>
        <w:rPr>
          <w:rFonts w:ascii="仿宋" w:eastAsia="仿宋" w:hAnsi="仿宋" w:cs="仿宋_GB2312" w:hint="eastAsia"/>
          <w:color w:val="000000"/>
          <w:kern w:val="0"/>
          <w:sz w:val="32"/>
          <w:szCs w:val="30"/>
        </w:rPr>
        <w:t>（三</w:t>
      </w:r>
      <w:r>
        <w:rPr>
          <w:rFonts w:ascii="仿宋" w:eastAsia="仿宋" w:hAnsi="仿宋" w:cs="仿宋_GB2312"/>
          <w:color w:val="000000"/>
          <w:kern w:val="0"/>
          <w:sz w:val="32"/>
          <w:szCs w:val="30"/>
        </w:rPr>
        <w:t>）逐日计收违约金</w:t>
      </w:r>
      <w:r>
        <w:rPr>
          <w:rFonts w:ascii="仿宋" w:eastAsia="仿宋" w:hAnsi="仿宋" w:cs="仿宋_GB2312" w:hint="eastAsia"/>
          <w:color w:val="000000"/>
          <w:kern w:val="0"/>
          <w:sz w:val="32"/>
          <w:szCs w:val="30"/>
        </w:rPr>
        <w:t>，不足一日的</w:t>
      </w:r>
      <w:r>
        <w:rPr>
          <w:rFonts w:ascii="仿宋" w:eastAsia="仿宋" w:hAnsi="仿宋" w:cs="仿宋_GB2312"/>
          <w:color w:val="000000"/>
          <w:kern w:val="0"/>
          <w:sz w:val="32"/>
          <w:szCs w:val="30"/>
        </w:rPr>
        <w:t>，按一日计算</w:t>
      </w:r>
      <w:r>
        <w:rPr>
          <w:rFonts w:ascii="仿宋" w:eastAsia="仿宋" w:hAnsi="仿宋" w:cs="仿宋_GB2312" w:hint="eastAsia"/>
          <w:color w:val="000000"/>
          <w:kern w:val="0"/>
          <w:sz w:val="32"/>
          <w:szCs w:val="30"/>
        </w:rPr>
        <w:t>；</w:t>
      </w:r>
    </w:p>
    <w:p w:rsidR="004A1C9D" w:rsidRDefault="00B678AF">
      <w:pPr>
        <w:pStyle w:val="a6"/>
        <w:adjustRightInd w:val="0"/>
        <w:snapToGrid w:val="0"/>
        <w:spacing w:line="580" w:lineRule="exact"/>
        <w:ind w:firstLine="640"/>
        <w:rPr>
          <w:rFonts w:ascii="仿宋" w:eastAsia="仿宋" w:hAnsi="仿宋" w:cs="仿宋_GB2312"/>
          <w:color w:val="000000"/>
          <w:kern w:val="0"/>
          <w:sz w:val="32"/>
          <w:szCs w:val="30"/>
        </w:rPr>
      </w:pPr>
      <w:r>
        <w:rPr>
          <w:rFonts w:ascii="仿宋" w:eastAsia="仿宋" w:hAnsi="仿宋" w:cs="仿宋_GB2312" w:hint="eastAsia"/>
          <w:color w:val="000000"/>
          <w:kern w:val="0"/>
          <w:sz w:val="32"/>
          <w:szCs w:val="30"/>
        </w:rPr>
        <w:t>（四）启动</w:t>
      </w:r>
      <w:r>
        <w:rPr>
          <w:rFonts w:ascii="仿宋" w:eastAsia="仿宋" w:hAnsi="仿宋" w:cs="仿宋_GB2312"/>
          <w:color w:val="000000"/>
          <w:kern w:val="0"/>
          <w:sz w:val="32"/>
          <w:szCs w:val="30"/>
        </w:rPr>
        <w:t>融券或</w:t>
      </w:r>
      <w:r>
        <w:rPr>
          <w:rFonts w:ascii="仿宋" w:eastAsia="仿宋" w:hAnsi="仿宋" w:cs="仿宋_GB2312" w:hint="eastAsia"/>
          <w:color w:val="000000"/>
          <w:kern w:val="0"/>
          <w:sz w:val="32"/>
          <w:szCs w:val="30"/>
        </w:rPr>
        <w:t>银行授</w:t>
      </w:r>
      <w:proofErr w:type="gramStart"/>
      <w:r>
        <w:rPr>
          <w:rFonts w:ascii="仿宋" w:eastAsia="仿宋" w:hAnsi="仿宋" w:cs="仿宋_GB2312" w:hint="eastAsia"/>
          <w:color w:val="000000"/>
          <w:kern w:val="0"/>
          <w:sz w:val="32"/>
          <w:szCs w:val="30"/>
        </w:rPr>
        <w:t>信完成</w:t>
      </w:r>
      <w:proofErr w:type="gramEnd"/>
      <w:r>
        <w:rPr>
          <w:rFonts w:ascii="仿宋" w:eastAsia="仿宋" w:hAnsi="仿宋" w:cs="仿宋_GB2312" w:hint="eastAsia"/>
          <w:color w:val="000000"/>
          <w:kern w:val="0"/>
          <w:sz w:val="32"/>
          <w:szCs w:val="30"/>
        </w:rPr>
        <w:t>对借出方的清算</w:t>
      </w:r>
      <w:r>
        <w:rPr>
          <w:rFonts w:ascii="仿宋" w:eastAsia="仿宋" w:hAnsi="仿宋" w:cs="仿宋_GB2312"/>
          <w:color w:val="000000"/>
          <w:kern w:val="0"/>
          <w:sz w:val="32"/>
          <w:szCs w:val="30"/>
        </w:rPr>
        <w:t>结算义务</w:t>
      </w:r>
      <w:r>
        <w:rPr>
          <w:rFonts w:ascii="仿宋" w:eastAsia="仿宋" w:hAnsi="仿宋" w:cs="仿宋_GB2312" w:hint="eastAsia"/>
          <w:color w:val="000000"/>
          <w:kern w:val="0"/>
          <w:sz w:val="32"/>
          <w:szCs w:val="30"/>
        </w:rPr>
        <w:t>。</w:t>
      </w:r>
      <w:r>
        <w:rPr>
          <w:rFonts w:ascii="仿宋" w:eastAsia="仿宋" w:hAnsi="仿宋" w:cs="仿宋_GB2312" w:hint="eastAsia"/>
          <w:color w:val="000000"/>
          <w:kern w:val="0"/>
          <w:sz w:val="32"/>
          <w:szCs w:val="30"/>
        </w:rPr>
        <w:lastRenderedPageBreak/>
        <w:t>上海清算所当日融券</w:t>
      </w:r>
      <w:r>
        <w:rPr>
          <w:rFonts w:ascii="仿宋" w:eastAsia="仿宋" w:hAnsi="仿宋" w:cs="仿宋_GB2312"/>
          <w:color w:val="000000"/>
          <w:kern w:val="0"/>
          <w:sz w:val="32"/>
          <w:szCs w:val="30"/>
        </w:rPr>
        <w:t>或</w:t>
      </w:r>
      <w:r>
        <w:rPr>
          <w:rFonts w:ascii="仿宋" w:eastAsia="仿宋" w:hAnsi="仿宋" w:cs="仿宋_GB2312" w:hint="eastAsia"/>
          <w:color w:val="000000"/>
          <w:kern w:val="0"/>
          <w:sz w:val="32"/>
          <w:szCs w:val="30"/>
        </w:rPr>
        <w:t>融资不足的，按照受影响业务参与者最少的原则选择延迟支付方，并逐日进行补偿；</w:t>
      </w:r>
    </w:p>
    <w:p w:rsidR="004A1C9D" w:rsidRDefault="00B678AF">
      <w:pPr>
        <w:adjustRightInd w:val="0"/>
        <w:snapToGrid w:val="0"/>
        <w:spacing w:line="580" w:lineRule="exact"/>
        <w:ind w:firstLineChars="200" w:firstLine="640"/>
        <w:rPr>
          <w:rFonts w:ascii="仿宋" w:eastAsia="仿宋" w:hAnsi="仿宋" w:cs="仿宋_GB2312"/>
          <w:color w:val="000000"/>
          <w:kern w:val="0"/>
          <w:sz w:val="32"/>
          <w:szCs w:val="30"/>
        </w:rPr>
      </w:pPr>
      <w:r>
        <w:rPr>
          <w:rFonts w:ascii="仿宋" w:eastAsia="仿宋" w:hAnsi="仿宋" w:cs="仿宋_GB2312" w:hint="eastAsia"/>
          <w:color w:val="000000"/>
          <w:kern w:val="0"/>
          <w:sz w:val="32"/>
          <w:szCs w:val="30"/>
        </w:rPr>
        <w:t>（五）违约借入方于规定日期、规定时点前足额交纳结算资产（包括但不限于资金、债券）、违约金或保证金等风险准备资源的，上海清算所释放其相应担保债券。同时，将相应债券或资金偿还授信借出方或延迟支付方，支付授</w:t>
      </w:r>
      <w:proofErr w:type="gramStart"/>
      <w:r>
        <w:rPr>
          <w:rFonts w:ascii="仿宋" w:eastAsia="仿宋" w:hAnsi="仿宋" w:cs="仿宋_GB2312" w:hint="eastAsia"/>
          <w:color w:val="000000"/>
          <w:kern w:val="0"/>
          <w:sz w:val="32"/>
          <w:szCs w:val="30"/>
        </w:rPr>
        <w:t>信费用</w:t>
      </w:r>
      <w:proofErr w:type="gramEnd"/>
      <w:r>
        <w:rPr>
          <w:rFonts w:ascii="仿宋" w:eastAsia="仿宋" w:hAnsi="仿宋" w:cs="仿宋_GB2312" w:hint="eastAsia"/>
          <w:color w:val="000000"/>
          <w:kern w:val="0"/>
          <w:sz w:val="32"/>
          <w:szCs w:val="30"/>
        </w:rPr>
        <w:t>或补偿费用。未补足交纳的，上海清算所启动后续违约处置流程，包括但不限于担保债券处置、标的债券补购、现金结算等；</w:t>
      </w:r>
    </w:p>
    <w:p w:rsidR="004A1C9D" w:rsidRDefault="00B678AF">
      <w:pPr>
        <w:pStyle w:val="a6"/>
        <w:adjustRightInd w:val="0"/>
        <w:snapToGrid w:val="0"/>
        <w:spacing w:line="580" w:lineRule="exact"/>
        <w:ind w:firstLine="640"/>
        <w:rPr>
          <w:rFonts w:ascii="仿宋" w:eastAsia="仿宋" w:hAnsi="仿宋" w:cs="仿宋_GB2312"/>
          <w:color w:val="000000"/>
          <w:kern w:val="0"/>
          <w:sz w:val="32"/>
          <w:szCs w:val="30"/>
        </w:rPr>
      </w:pPr>
      <w:r>
        <w:rPr>
          <w:rFonts w:ascii="仿宋" w:eastAsia="仿宋" w:hAnsi="仿宋" w:cs="仿宋_GB2312" w:hint="eastAsia"/>
          <w:color w:val="000000"/>
          <w:kern w:val="0"/>
          <w:sz w:val="32"/>
          <w:szCs w:val="30"/>
        </w:rPr>
        <w:t>（六）上海清算所认为必要</w:t>
      </w:r>
      <w:r>
        <w:rPr>
          <w:rFonts w:ascii="仿宋" w:eastAsia="仿宋" w:hAnsi="仿宋" w:cs="仿宋_GB2312"/>
          <w:color w:val="000000"/>
          <w:kern w:val="0"/>
          <w:sz w:val="32"/>
          <w:szCs w:val="30"/>
        </w:rPr>
        <w:t>的其他措施。</w:t>
      </w:r>
    </w:p>
    <w:p w:rsidR="004A1C9D" w:rsidRDefault="00B678AF">
      <w:pPr>
        <w:pStyle w:val="a6"/>
        <w:numPr>
          <w:ilvl w:val="0"/>
          <w:numId w:val="1"/>
        </w:numPr>
        <w:adjustRightInd w:val="0"/>
        <w:snapToGrid w:val="0"/>
        <w:spacing w:line="580" w:lineRule="exact"/>
        <w:ind w:left="0" w:firstLine="640"/>
        <w:rPr>
          <w:rFonts w:ascii="仿宋" w:eastAsia="仿宋" w:hAnsi="仿宋" w:cs="仿宋_GB2312"/>
          <w:color w:val="000000"/>
          <w:kern w:val="0"/>
          <w:sz w:val="32"/>
          <w:szCs w:val="30"/>
        </w:rPr>
      </w:pPr>
      <w:r>
        <w:rPr>
          <w:rFonts w:ascii="仿宋" w:eastAsia="仿宋" w:hAnsi="仿宋" w:cs="仿宋_GB2312" w:hint="eastAsia"/>
          <w:color w:val="000000"/>
          <w:kern w:val="0"/>
          <w:sz w:val="32"/>
          <w:szCs w:val="30"/>
        </w:rPr>
        <w:t>中央债券借贷业务的收费</w:t>
      </w:r>
      <w:r>
        <w:rPr>
          <w:rFonts w:ascii="仿宋" w:eastAsia="仿宋" w:hAnsi="仿宋" w:cs="仿宋_GB2312"/>
          <w:color w:val="000000"/>
          <w:kern w:val="0"/>
          <w:sz w:val="32"/>
          <w:szCs w:val="30"/>
        </w:rPr>
        <w:t>方案</w:t>
      </w:r>
      <w:r>
        <w:rPr>
          <w:rFonts w:ascii="仿宋" w:eastAsia="仿宋" w:hAnsi="仿宋" w:cs="仿宋_GB2312" w:hint="eastAsia"/>
          <w:color w:val="000000"/>
          <w:kern w:val="0"/>
          <w:sz w:val="32"/>
          <w:szCs w:val="30"/>
        </w:rPr>
        <w:t>将</w:t>
      </w:r>
      <w:r>
        <w:rPr>
          <w:rFonts w:ascii="仿宋" w:eastAsia="仿宋" w:hAnsi="仿宋" w:cs="仿宋_GB2312"/>
          <w:color w:val="000000"/>
          <w:kern w:val="0"/>
          <w:sz w:val="32"/>
          <w:szCs w:val="30"/>
        </w:rPr>
        <w:t>另行制定并发布。</w:t>
      </w:r>
    </w:p>
    <w:p w:rsidR="004A1C9D" w:rsidRDefault="00B678AF">
      <w:pPr>
        <w:pStyle w:val="a6"/>
        <w:numPr>
          <w:ilvl w:val="0"/>
          <w:numId w:val="1"/>
        </w:numPr>
        <w:adjustRightInd w:val="0"/>
        <w:snapToGrid w:val="0"/>
        <w:spacing w:line="580" w:lineRule="exact"/>
        <w:ind w:left="0" w:firstLine="640"/>
        <w:rPr>
          <w:rFonts w:ascii="仿宋" w:eastAsia="仿宋" w:hAnsi="仿宋" w:cs="仿宋_GB2312"/>
          <w:color w:val="000000"/>
          <w:kern w:val="0"/>
          <w:sz w:val="32"/>
          <w:szCs w:val="30"/>
        </w:rPr>
      </w:pPr>
      <w:r>
        <w:rPr>
          <w:rFonts w:ascii="仿宋" w:eastAsia="仿宋" w:hAnsi="仿宋" w:cs="仿宋_GB2312" w:hint="eastAsia"/>
          <w:color w:val="000000"/>
          <w:kern w:val="0"/>
          <w:sz w:val="32"/>
          <w:szCs w:val="30"/>
        </w:rPr>
        <w:t>本实施细则由同业拆借中心、上海清算所负责解释和修订。</w:t>
      </w:r>
    </w:p>
    <w:p w:rsidR="004A1C9D" w:rsidRDefault="00B678AF">
      <w:pPr>
        <w:pStyle w:val="a6"/>
        <w:numPr>
          <w:ilvl w:val="0"/>
          <w:numId w:val="1"/>
        </w:numPr>
        <w:adjustRightInd w:val="0"/>
        <w:snapToGrid w:val="0"/>
        <w:spacing w:line="580" w:lineRule="exact"/>
        <w:ind w:left="0" w:firstLine="640"/>
        <w:rPr>
          <w:rFonts w:ascii="仿宋" w:eastAsia="仿宋" w:hAnsi="仿宋" w:cs="仿宋_GB2312"/>
          <w:color w:val="000000"/>
          <w:kern w:val="0"/>
          <w:sz w:val="32"/>
          <w:szCs w:val="30"/>
        </w:rPr>
      </w:pPr>
      <w:r>
        <w:rPr>
          <w:rFonts w:ascii="仿宋" w:eastAsia="仿宋" w:hAnsi="仿宋" w:cs="仿宋_GB2312" w:hint="eastAsia"/>
          <w:color w:val="000000"/>
          <w:kern w:val="0"/>
          <w:sz w:val="32"/>
          <w:szCs w:val="30"/>
        </w:rPr>
        <w:t>本实施细则自发布之日起实施。</w:t>
      </w:r>
    </w:p>
    <w:p w:rsidR="004A1C9D" w:rsidRDefault="004A1C9D">
      <w:pPr>
        <w:adjustRightInd w:val="0"/>
        <w:snapToGrid w:val="0"/>
        <w:spacing w:line="580" w:lineRule="exact"/>
        <w:rPr>
          <w:rFonts w:ascii="仿宋" w:eastAsia="仿宋" w:hAnsi="仿宋" w:cs="仿宋"/>
          <w:sz w:val="36"/>
          <w:szCs w:val="32"/>
          <w:lang w:bidi="ar"/>
        </w:rPr>
      </w:pPr>
    </w:p>
    <w:sectPr w:rsidR="004A1C9D">
      <w:headerReference w:type="even" r:id="rId8"/>
      <w:footerReference w:type="even" r:id="rId9"/>
      <w:footerReference w:type="default" r:id="rId10"/>
      <w:pgSz w:w="11906" w:h="16838"/>
      <w:pgMar w:top="2098" w:right="1474" w:bottom="1984" w:left="1587" w:header="851" w:footer="153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B678AF">
      <w:r>
        <w:separator/>
      </w:r>
    </w:p>
  </w:endnote>
  <w:endnote w:type="continuationSeparator" w:id="0">
    <w:p w:rsidR="00000000" w:rsidRDefault="00B67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_GB2312">
    <w:altName w:val="仿宋"/>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1C9D" w:rsidRDefault="00B678AF">
    <w:pPr>
      <w:pStyle w:val="a4"/>
    </w:pPr>
    <w:r>
      <w:rPr>
        <w:noProof/>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A1C9D" w:rsidRDefault="00B678AF">
                          <w:pPr>
                            <w:pStyle w:val="a4"/>
                            <w:ind w:firstLineChars="100" w:firstLine="280"/>
                            <w:rPr>
                              <w:rFonts w:asciiTheme="minorEastAsia" w:hAnsiTheme="minorEastAsia" w:cstheme="minorEastAsia"/>
                              <w:sz w:val="28"/>
                              <w:szCs w:val="28"/>
                            </w:rPr>
                          </w:pPr>
                          <w:r>
                            <w:rPr>
                              <w:rFonts w:asciiTheme="minorEastAsia" w:hAnsiTheme="minorEastAsia" w:cstheme="minorEastAsia" w:hint="eastAsia"/>
                              <w:sz w:val="28"/>
                              <w:szCs w:val="28"/>
                            </w:rPr>
                            <w:t>—</w:t>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Pr>
                              <w:rFonts w:asciiTheme="minorEastAsia" w:hAnsiTheme="minorEastAsia" w:cstheme="minorEastAsia"/>
                              <w:noProof/>
                              <w:sz w:val="28"/>
                              <w:szCs w:val="28"/>
                            </w:rPr>
                            <w:t>4</w:t>
                          </w:r>
                          <w:r>
                            <w:rPr>
                              <w:rFonts w:asciiTheme="minorEastAsia" w:hAnsiTheme="minorEastAsia" w:cstheme="minorEastAsia" w:hint="eastAsia"/>
                              <w:sz w:val="28"/>
                              <w:szCs w:val="28"/>
                            </w:rPr>
                            <w:fldChar w:fldCharType="end"/>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26" type="#_x0000_t202" style="position:absolute;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e8pWMCAAARBQAADgAAAAAAAAAAAAAAAAAuAgAAZHJzL2Uyb0RvYy54&#10;bWxQSwECLQAUAAYACAAAACEAcarRudcAAAAFAQAADwAAAAAAAAAAAAAAAAC9BAAAZHJzL2Rvd25y&#10;ZXYueG1sUEsFBgAAAAAEAAQA8wAAAMEFAAAAAA==&#10;" filled="f" stroked="f" strokeweight=".5pt">
              <v:textbox style="mso-fit-shape-to-text:t" inset="0,0,0,0">
                <w:txbxContent>
                  <w:p w:rsidR="004A1C9D" w:rsidRDefault="00B678AF">
                    <w:pPr>
                      <w:pStyle w:val="a4"/>
                      <w:ind w:firstLineChars="100" w:firstLine="280"/>
                      <w:rPr>
                        <w:rFonts w:asciiTheme="minorEastAsia" w:hAnsiTheme="minorEastAsia" w:cstheme="minorEastAsia"/>
                        <w:sz w:val="28"/>
                        <w:szCs w:val="28"/>
                      </w:rPr>
                    </w:pPr>
                    <w:r>
                      <w:rPr>
                        <w:rFonts w:asciiTheme="minorEastAsia" w:hAnsiTheme="minorEastAsia" w:cstheme="minorEastAsia" w:hint="eastAsia"/>
                        <w:sz w:val="28"/>
                        <w:szCs w:val="28"/>
                      </w:rPr>
                      <w:t>—</w:t>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Pr>
                        <w:rFonts w:asciiTheme="minorEastAsia" w:hAnsiTheme="minorEastAsia" w:cstheme="minorEastAsia"/>
                        <w:noProof/>
                        <w:sz w:val="28"/>
                        <w:szCs w:val="28"/>
                      </w:rPr>
                      <w:t>4</w:t>
                    </w:r>
                    <w:r>
                      <w:rPr>
                        <w:rFonts w:asciiTheme="minorEastAsia" w:hAnsiTheme="minorEastAsia" w:cstheme="minorEastAsia" w:hint="eastAsia"/>
                        <w:sz w:val="28"/>
                        <w:szCs w:val="28"/>
                      </w:rPr>
                      <w:fldChar w:fldCharType="end"/>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1C9D" w:rsidRDefault="00B678AF">
    <w:pPr>
      <w:pStyle w:val="a4"/>
    </w:pPr>
    <w:r>
      <w:rPr>
        <w:noProof/>
      </w:rPr>
      <mc:AlternateContent>
        <mc:Choice Requires="wps">
          <w:drawing>
            <wp:anchor distT="0" distB="0" distL="114300" distR="114300" simplePos="0" relativeHeight="251659264" behindDoc="0" locked="0" layoutInCell="1" allowOverlap="1">
              <wp:simplePos x="0" y="0"/>
              <wp:positionH relativeFrom="margin">
                <wp:posOffset>4819015</wp:posOffset>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A1C9D" w:rsidRDefault="00B678AF">
                          <w:pPr>
                            <w:pStyle w:val="a4"/>
                            <w:rPr>
                              <w:rFonts w:asciiTheme="minorEastAsia" w:hAnsiTheme="minorEastAsia" w:cstheme="minorEastAsia"/>
                              <w:sz w:val="28"/>
                              <w:szCs w:val="28"/>
                            </w:rPr>
                          </w:pPr>
                          <w:r>
                            <w:rPr>
                              <w:rFonts w:asciiTheme="minorEastAsia" w:hAnsiTheme="minorEastAsia" w:cstheme="minorEastAsia" w:hint="eastAsia"/>
                              <w:sz w:val="28"/>
                              <w:szCs w:val="28"/>
                            </w:rPr>
                            <w:t>—</w:t>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Pr>
                              <w:rFonts w:asciiTheme="minorEastAsia" w:hAnsiTheme="minorEastAsia" w:cstheme="minorEastAsia"/>
                              <w:noProof/>
                              <w:sz w:val="28"/>
                              <w:szCs w:val="28"/>
                            </w:rPr>
                            <w:t>5</w:t>
                          </w:r>
                          <w:r>
                            <w:rPr>
                              <w:rFonts w:asciiTheme="minorEastAsia" w:hAnsiTheme="minorEastAsia" w:cstheme="minorEastAsia" w:hint="eastAsia"/>
                              <w:sz w:val="28"/>
                              <w:szCs w:val="28"/>
                            </w:rPr>
                            <w:fldChar w:fldCharType="end"/>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7" type="#_x0000_t202" style="position:absolute;margin-left:379.45pt;margin-top:0;width:2in;height:2in;z-index:25165926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fXBYQIAAAoFAAAOAAAAZHJzL2Uyb0RvYy54bWysVE1uEzEU3iNxB8t7OmlRqy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95eTw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" filled="f" stroked="f" strokeweight=".5pt">
              <v:textbox style="mso-fit-shape-to-text:t" inset="0,0,0,0">
                <w:txbxContent>
                  <w:p w:rsidR="004A1C9D" w:rsidRDefault="00B678AF">
                    <w:pPr>
                      <w:pStyle w:val="a4"/>
                      <w:rPr>
                        <w:rFonts w:asciiTheme="minorEastAsia" w:hAnsiTheme="minorEastAsia" w:cstheme="minorEastAsia"/>
                        <w:sz w:val="28"/>
                        <w:szCs w:val="28"/>
                      </w:rPr>
                    </w:pPr>
                    <w:r>
                      <w:rPr>
                        <w:rFonts w:asciiTheme="minorEastAsia" w:hAnsiTheme="minorEastAsia" w:cstheme="minorEastAsia" w:hint="eastAsia"/>
                        <w:sz w:val="28"/>
                        <w:szCs w:val="28"/>
                      </w:rPr>
                      <w:t>—</w:t>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Pr>
                        <w:rFonts w:asciiTheme="minorEastAsia" w:hAnsiTheme="minorEastAsia" w:cstheme="minorEastAsia"/>
                        <w:noProof/>
                        <w:sz w:val="28"/>
                        <w:szCs w:val="28"/>
                      </w:rPr>
                      <w:t>5</w:t>
                    </w:r>
                    <w:r>
                      <w:rPr>
                        <w:rFonts w:asciiTheme="minorEastAsia" w:hAnsiTheme="minorEastAsia" w:cstheme="minorEastAsia" w:hint="eastAsia"/>
                        <w:sz w:val="28"/>
                        <w:szCs w:val="28"/>
                      </w:rPr>
                      <w:fldChar w:fldCharType="end"/>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B678AF">
      <w:r>
        <w:separator/>
      </w:r>
    </w:p>
  </w:footnote>
  <w:footnote w:type="continuationSeparator" w:id="0">
    <w:p w:rsidR="00000000" w:rsidRDefault="00B678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1C9D" w:rsidRDefault="004A1C9D">
    <w:pPr>
      <w:pStyle w:val="a5"/>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5F37EC"/>
    <w:multiLevelType w:val="multilevel"/>
    <w:tmpl w:val="145F37EC"/>
    <w:lvl w:ilvl="0">
      <w:start w:val="1"/>
      <w:numFmt w:val="japaneseCounting"/>
      <w:lvlText w:val="第%1条"/>
      <w:lvlJc w:val="left"/>
      <w:pPr>
        <w:ind w:left="1554" w:hanging="420"/>
      </w:pPr>
      <w:rPr>
        <w:rFonts w:ascii="仿宋_GB2312" w:hint="default"/>
        <w:b/>
        <w:bCs/>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evenAndOddHeaders/>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JmN2FiZTEyMWQ3YWU3MTQ5YWNkYmE2MTE1NTc0ZDQifQ=="/>
  </w:docVars>
  <w:rsids>
    <w:rsidRoot w:val="00827501"/>
    <w:rsid w:val="9E5E9D37"/>
    <w:rsid w:val="AF7B2A6E"/>
    <w:rsid w:val="B0FBA973"/>
    <w:rsid w:val="F67FE4E7"/>
    <w:rsid w:val="00057749"/>
    <w:rsid w:val="00242DFB"/>
    <w:rsid w:val="004A1C9D"/>
    <w:rsid w:val="004C12E7"/>
    <w:rsid w:val="00506405"/>
    <w:rsid w:val="00585DCE"/>
    <w:rsid w:val="00813A81"/>
    <w:rsid w:val="00827501"/>
    <w:rsid w:val="00827A0B"/>
    <w:rsid w:val="0091708B"/>
    <w:rsid w:val="009E224D"/>
    <w:rsid w:val="00AC69E0"/>
    <w:rsid w:val="00B678AF"/>
    <w:rsid w:val="00BA534C"/>
    <w:rsid w:val="075E3FD0"/>
    <w:rsid w:val="0998513F"/>
    <w:rsid w:val="14F65263"/>
    <w:rsid w:val="15655021"/>
    <w:rsid w:val="190D20D9"/>
    <w:rsid w:val="1A34721A"/>
    <w:rsid w:val="20FD356C"/>
    <w:rsid w:val="26CD39E1"/>
    <w:rsid w:val="2718718B"/>
    <w:rsid w:val="31CF18D8"/>
    <w:rsid w:val="32FD1240"/>
    <w:rsid w:val="341502E5"/>
    <w:rsid w:val="35BE01DF"/>
    <w:rsid w:val="397F500E"/>
    <w:rsid w:val="3EFBA4C8"/>
    <w:rsid w:val="47046B53"/>
    <w:rsid w:val="4C296AC6"/>
    <w:rsid w:val="512D7D47"/>
    <w:rsid w:val="59722351"/>
    <w:rsid w:val="5E4D6F46"/>
    <w:rsid w:val="6C0A7EB8"/>
    <w:rsid w:val="7A9343F5"/>
    <w:rsid w:val="7CFB43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1184B9DA-81A3-431D-B853-12C618002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Pr>
      <w:sz w:val="18"/>
      <w:szCs w:val="18"/>
    </w:rPr>
  </w:style>
  <w:style w:type="paragraph" w:styleId="a4">
    <w:name w:val="footer"/>
    <w:basedOn w:val="a"/>
    <w:link w:val="Char0"/>
    <w:qFormat/>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styleId="a6">
    <w:name w:val="List Paragraph"/>
    <w:basedOn w:val="a"/>
    <w:uiPriority w:val="34"/>
    <w:qFormat/>
    <w:pPr>
      <w:ind w:firstLineChars="200" w:firstLine="420"/>
    </w:pPr>
  </w:style>
  <w:style w:type="character" w:customStyle="1" w:styleId="Char">
    <w:name w:val="批注框文本 Char"/>
    <w:basedOn w:val="a0"/>
    <w:link w:val="a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309</Words>
  <Characters>1765</Characters>
  <Application>Microsoft Office Word</Application>
  <DocSecurity>0</DocSecurity>
  <Lines>14</Lines>
  <Paragraphs>4</Paragraphs>
  <ScaleCrop>false</ScaleCrop>
  <Company/>
  <LinksUpToDate>false</LinksUpToDate>
  <CharactersWithSpaces>2070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zhuomian</dc:creator>
  <cp:lastModifiedBy>李思烨</cp:lastModifiedBy>
  <cp:revision>2</cp:revision>
  <dcterms:created xsi:type="dcterms:W3CDTF">2023-01-29T19:39:00Z</dcterms:created>
  <dcterms:modified xsi:type="dcterms:W3CDTF">2023-11-30T01:56:00Z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AC5CE3E7BC414DDD82A3FD80FF00B5E1</vt:lpwstr>
  </property>
</Properties>
</file>