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21B" w:rsidRDefault="00AC4325">
      <w:pPr>
        <w:spacing w:line="580" w:lineRule="exact"/>
        <w:rPr>
          <w:rFonts w:ascii="黑体" w:eastAsia="黑体" w:hAnsi="宋体" w:cs="仿宋_GB2312"/>
          <w:kern w:val="0"/>
          <w:sz w:val="32"/>
          <w:szCs w:val="32"/>
        </w:rPr>
      </w:pPr>
      <w:r>
        <w:rPr>
          <w:rFonts w:ascii="黑体" w:eastAsia="黑体" w:hAnsi="宋体" w:cs="仿宋_GB2312" w:hint="eastAsia"/>
          <w:kern w:val="0"/>
          <w:sz w:val="32"/>
          <w:szCs w:val="32"/>
        </w:rPr>
        <w:t>附件</w:t>
      </w:r>
      <w:bookmarkStart w:id="0" w:name="_GoBack"/>
      <w:bookmarkEnd w:id="0"/>
    </w:p>
    <w:p w:rsidR="00AC321B" w:rsidRDefault="00AC321B">
      <w:pPr>
        <w:spacing w:line="580" w:lineRule="exact"/>
        <w:rPr>
          <w:rFonts w:ascii="黑体" w:eastAsia="黑体" w:hAnsi="宋体" w:cs="仿宋_GB2312"/>
          <w:kern w:val="0"/>
          <w:sz w:val="32"/>
          <w:szCs w:val="32"/>
        </w:rPr>
      </w:pPr>
    </w:p>
    <w:p w:rsidR="00AC321B" w:rsidRDefault="00AC4325">
      <w:pPr>
        <w:spacing w:line="580" w:lineRule="exact"/>
        <w:jc w:val="center"/>
        <w:rPr>
          <w:rFonts w:ascii="宋体" w:hAnsi="宋体" w:cs="仿宋_GB2312"/>
          <w:b/>
          <w:kern w:val="0"/>
          <w:sz w:val="44"/>
          <w:szCs w:val="44"/>
        </w:rPr>
      </w:pPr>
      <w:r>
        <w:rPr>
          <w:rFonts w:ascii="宋体" w:hAnsi="宋体" w:cs="仿宋_GB2312" w:hint="eastAsia"/>
          <w:b/>
          <w:kern w:val="0"/>
          <w:sz w:val="44"/>
          <w:szCs w:val="44"/>
          <w:lang w:bidi="ar"/>
        </w:rPr>
        <w:t>银行间债券市场通用回购交易清算业务</w:t>
      </w:r>
    </w:p>
    <w:p w:rsidR="00AC321B" w:rsidRDefault="00AC4325">
      <w:pPr>
        <w:spacing w:line="580" w:lineRule="exact"/>
        <w:jc w:val="center"/>
        <w:rPr>
          <w:rFonts w:ascii="宋体" w:hAnsi="宋体" w:cs="仿宋_GB2312"/>
          <w:b/>
          <w:kern w:val="0"/>
          <w:sz w:val="44"/>
          <w:szCs w:val="44"/>
        </w:rPr>
      </w:pPr>
      <w:r>
        <w:rPr>
          <w:rFonts w:ascii="宋体" w:hAnsi="宋体" w:cs="仿宋_GB2312" w:hint="eastAsia"/>
          <w:b/>
          <w:kern w:val="0"/>
          <w:sz w:val="44"/>
          <w:szCs w:val="44"/>
          <w:lang w:bidi="ar"/>
        </w:rPr>
        <w:t>实施细则</w:t>
      </w:r>
    </w:p>
    <w:p w:rsidR="00AC321B" w:rsidRDefault="00AC4325">
      <w:pPr>
        <w:spacing w:line="580" w:lineRule="exact"/>
        <w:jc w:val="center"/>
        <w:rPr>
          <w:rFonts w:ascii="仿宋" w:eastAsia="仿宋" w:hAnsi="仿宋" w:cs="仿宋_GB2312"/>
          <w:kern w:val="0"/>
          <w:sz w:val="30"/>
          <w:szCs w:val="30"/>
        </w:rPr>
      </w:pPr>
      <w:r>
        <w:rPr>
          <w:rFonts w:ascii="仿宋" w:eastAsia="仿宋" w:hAnsi="仿宋" w:cs="仿宋_GB2312" w:hint="eastAsia"/>
          <w:kern w:val="0"/>
          <w:sz w:val="30"/>
          <w:szCs w:val="30"/>
          <w:lang w:bidi="ar"/>
        </w:rPr>
        <w:t>（202</w:t>
      </w:r>
      <w:r>
        <w:rPr>
          <w:rFonts w:ascii="仿宋" w:eastAsia="仿宋" w:hAnsi="仿宋" w:cs="仿宋_GB2312"/>
          <w:kern w:val="0"/>
          <w:sz w:val="30"/>
          <w:szCs w:val="30"/>
          <w:lang w:bidi="ar"/>
        </w:rPr>
        <w:t>4</w:t>
      </w:r>
      <w:r>
        <w:rPr>
          <w:rFonts w:ascii="仿宋" w:eastAsia="仿宋" w:hAnsi="仿宋" w:cs="仿宋_GB2312" w:hint="eastAsia"/>
          <w:kern w:val="0"/>
          <w:sz w:val="30"/>
          <w:szCs w:val="30"/>
          <w:lang w:bidi="ar"/>
        </w:rPr>
        <w:t>年</w:t>
      </w:r>
      <w:r>
        <w:rPr>
          <w:rFonts w:ascii="仿宋" w:eastAsia="仿宋" w:hAnsi="仿宋" w:cs="仿宋_GB2312"/>
          <w:kern w:val="0"/>
          <w:sz w:val="30"/>
          <w:szCs w:val="30"/>
          <w:lang w:bidi="ar"/>
        </w:rPr>
        <w:t>4</w:t>
      </w:r>
      <w:r>
        <w:rPr>
          <w:rFonts w:ascii="仿宋" w:eastAsia="仿宋" w:hAnsi="仿宋" w:cs="仿宋_GB2312" w:hint="eastAsia"/>
          <w:kern w:val="0"/>
          <w:sz w:val="30"/>
          <w:szCs w:val="30"/>
          <w:lang w:bidi="ar"/>
        </w:rPr>
        <w:t>月修订）</w:t>
      </w:r>
    </w:p>
    <w:p w:rsidR="00AC321B" w:rsidRDefault="00AC321B">
      <w:pPr>
        <w:spacing w:line="580" w:lineRule="exact"/>
        <w:jc w:val="center"/>
        <w:rPr>
          <w:rFonts w:ascii="黑体" w:eastAsia="黑体" w:hAnsi="宋体" w:cs="仿宋_GB2312"/>
          <w:kern w:val="0"/>
          <w:sz w:val="32"/>
          <w:szCs w:val="32"/>
        </w:rPr>
      </w:pPr>
    </w:p>
    <w:p w:rsidR="00AC321B" w:rsidRDefault="00AC4325">
      <w:pPr>
        <w:spacing w:line="580" w:lineRule="exact"/>
        <w:jc w:val="center"/>
        <w:rPr>
          <w:rFonts w:ascii="黑体" w:eastAsia="黑体" w:hAnsi="宋体" w:cs="仿宋_GB2312"/>
          <w:kern w:val="0"/>
          <w:sz w:val="32"/>
          <w:szCs w:val="32"/>
        </w:rPr>
      </w:pPr>
      <w:r>
        <w:rPr>
          <w:rFonts w:ascii="黑体" w:eastAsia="黑体" w:hAnsi="宋体" w:cs="仿宋_GB2312" w:hint="eastAsia"/>
          <w:kern w:val="0"/>
          <w:sz w:val="32"/>
          <w:szCs w:val="32"/>
          <w:lang w:bidi="ar"/>
        </w:rPr>
        <w:t>第一章 总则</w:t>
      </w:r>
    </w:p>
    <w:p w:rsidR="00AC321B" w:rsidRDefault="00AC4325">
      <w:pPr>
        <w:pStyle w:val="a9"/>
        <w:numPr>
          <w:ilvl w:val="0"/>
          <w:numId w:val="2"/>
        </w:numPr>
        <w:ind w:left="0" w:firstLine="624"/>
        <w:jc w:val="both"/>
        <w:rPr>
          <w:rFonts w:ascii="仿宋" w:eastAsia="仿宋" w:hAnsi="仿宋" w:cs="仿宋"/>
          <w:sz w:val="32"/>
          <w:szCs w:val="32"/>
        </w:rPr>
      </w:pPr>
      <w:r>
        <w:rPr>
          <w:rFonts w:ascii="仿宋" w:eastAsia="仿宋" w:hAnsi="仿宋" w:cs="仿宋" w:hint="eastAsia"/>
          <w:sz w:val="32"/>
          <w:szCs w:val="32"/>
          <w:lang w:bidi="ar"/>
        </w:rPr>
        <w:t>为规范银行间债券市场通用回购交易清算业务（以下简称通用回购业务，维护相关参与主体合法权益，防范交易清算风险，全国银行间同业拆借中心（以下简称同业拆借中心）和银行间市场清算所股份有限公司（以下简称上海清算所）根据国家相关法律法规、中国人民银行相关规定，共同制定本细则。</w:t>
      </w:r>
    </w:p>
    <w:p w:rsidR="00AC321B" w:rsidRDefault="00AC4325">
      <w:pPr>
        <w:pStyle w:val="a9"/>
        <w:numPr>
          <w:ilvl w:val="0"/>
          <w:numId w:val="2"/>
        </w:numPr>
        <w:ind w:left="0" w:firstLine="624"/>
        <w:jc w:val="both"/>
        <w:rPr>
          <w:rFonts w:ascii="仿宋" w:eastAsia="仿宋" w:hAnsi="仿宋" w:cs="仿宋_GB2312"/>
          <w:kern w:val="0"/>
          <w:sz w:val="32"/>
          <w:szCs w:val="32"/>
        </w:rPr>
      </w:pPr>
      <w:r>
        <w:rPr>
          <w:rFonts w:ascii="仿宋" w:eastAsia="仿宋" w:hAnsi="仿宋" w:cs="仿宋" w:hint="eastAsia"/>
          <w:sz w:val="32"/>
          <w:szCs w:val="32"/>
          <w:lang w:bidi="ar"/>
        </w:rPr>
        <w:t>通用</w:t>
      </w:r>
      <w:r>
        <w:rPr>
          <w:rFonts w:ascii="仿宋" w:eastAsia="仿宋" w:hAnsi="仿宋" w:cs="仿宋_GB2312" w:hint="eastAsia"/>
          <w:kern w:val="0"/>
          <w:sz w:val="32"/>
          <w:szCs w:val="32"/>
          <w:lang w:bidi="ar"/>
        </w:rPr>
        <w:t>回购业务是指采用集中清算的三方回购交易业务。银行间债券市场业务参与者将符合上海清算所要求的债券提交担保券库，上海清算所对担保券库的债券按照折扣率进行计算，业务参与者在额度范围内通过同业拆借中心开展回购交易。开展通用回购交易时，业务参与者需自行确定回购金额、利率和期限等要素，对应的担保券由上海清算所自动选取、结算并进行存续期管理，包括估值盯市和担保券替换等。上海清算所按集中清算方式进行清算结算。</w:t>
      </w:r>
    </w:p>
    <w:p w:rsidR="00AC321B" w:rsidRDefault="00AC4325">
      <w:pPr>
        <w:pStyle w:val="a9"/>
        <w:numPr>
          <w:ilvl w:val="0"/>
          <w:numId w:val="2"/>
        </w:numPr>
        <w:ind w:left="0" w:firstLine="624"/>
        <w:jc w:val="both"/>
        <w:rPr>
          <w:rFonts w:ascii="仿宋" w:eastAsia="仿宋" w:hAnsi="仿宋" w:cs="仿宋_GB2312"/>
          <w:kern w:val="0"/>
          <w:sz w:val="32"/>
          <w:szCs w:val="32"/>
        </w:rPr>
      </w:pPr>
      <w:r>
        <w:rPr>
          <w:rFonts w:ascii="仿宋" w:eastAsia="仿宋" w:hAnsi="仿宋" w:cs="仿宋_GB2312" w:hint="eastAsia"/>
          <w:kern w:val="0"/>
          <w:sz w:val="32"/>
          <w:szCs w:val="32"/>
          <w:lang w:bidi="ar"/>
        </w:rPr>
        <w:t>同业拆借中心作为中国人民银行认可的交易平台，为通用回购业务提供报价、交易及信息等相关服务；上海清算所</w:t>
      </w:r>
      <w:r>
        <w:rPr>
          <w:rFonts w:ascii="仿宋" w:eastAsia="仿宋" w:hAnsi="仿宋" w:cs="仿宋_GB2312" w:hint="eastAsia"/>
          <w:kern w:val="0"/>
          <w:sz w:val="32"/>
          <w:szCs w:val="32"/>
          <w:lang w:bidi="ar"/>
        </w:rPr>
        <w:lastRenderedPageBreak/>
        <w:t>作为中国人民银行认可的第三方机构和中央对手方，为通用回购业务提供担保品管理、集中清算等相关服务。</w:t>
      </w:r>
    </w:p>
    <w:p w:rsidR="00AC321B" w:rsidRDefault="00AC4325">
      <w:pPr>
        <w:pStyle w:val="a9"/>
        <w:numPr>
          <w:ilvl w:val="0"/>
          <w:numId w:val="2"/>
        </w:numPr>
        <w:ind w:left="0" w:firstLine="624"/>
        <w:jc w:val="both"/>
        <w:rPr>
          <w:rFonts w:ascii="仿宋" w:eastAsia="仿宋" w:hAnsi="仿宋" w:cs="仿宋_GB2312"/>
          <w:kern w:val="0"/>
          <w:sz w:val="32"/>
          <w:szCs w:val="32"/>
        </w:rPr>
      </w:pPr>
      <w:r>
        <w:rPr>
          <w:rFonts w:ascii="仿宋" w:eastAsia="仿宋" w:hAnsi="仿宋" w:cs="仿宋_GB2312" w:hint="eastAsia"/>
          <w:kern w:val="0"/>
          <w:sz w:val="32"/>
          <w:szCs w:val="32"/>
          <w:lang w:bidi="ar"/>
        </w:rPr>
        <w:t>上海清算所实行分层净额清算制度。上海清算所负责与清算会员进行资金和债券的清算结算。非清算会员可通过综合清算会员参与通用回购业务，并由代理其清算的综合清算会员承担相应权利义务。</w:t>
      </w:r>
    </w:p>
    <w:p w:rsidR="00AC321B" w:rsidRDefault="00AC321B">
      <w:pPr>
        <w:spacing w:line="580" w:lineRule="exact"/>
        <w:jc w:val="center"/>
        <w:rPr>
          <w:rFonts w:ascii="仿宋" w:eastAsia="仿宋" w:hAnsi="仿宋" w:cs="仿宋_GB2312"/>
          <w:b/>
          <w:kern w:val="0"/>
          <w:sz w:val="32"/>
          <w:szCs w:val="32"/>
        </w:rPr>
      </w:pPr>
    </w:p>
    <w:p w:rsidR="00AC321B" w:rsidRDefault="00AC4325">
      <w:pPr>
        <w:spacing w:line="580" w:lineRule="exact"/>
        <w:jc w:val="center"/>
        <w:rPr>
          <w:rFonts w:ascii="黑体" w:eastAsia="黑体" w:hAnsi="宋体" w:cs="仿宋_GB2312"/>
          <w:kern w:val="0"/>
          <w:sz w:val="32"/>
          <w:szCs w:val="32"/>
        </w:rPr>
      </w:pPr>
      <w:r>
        <w:rPr>
          <w:rFonts w:ascii="黑体" w:eastAsia="黑体" w:hAnsi="宋体" w:cs="仿宋_GB2312" w:hint="eastAsia"/>
          <w:kern w:val="0"/>
          <w:sz w:val="32"/>
          <w:szCs w:val="32"/>
          <w:lang w:bidi="ar"/>
        </w:rPr>
        <w:t>第二章 业务参与者及账户设置</w:t>
      </w:r>
    </w:p>
    <w:p w:rsidR="00AC321B" w:rsidRDefault="00AC4325">
      <w:pPr>
        <w:pStyle w:val="a9"/>
        <w:numPr>
          <w:ilvl w:val="0"/>
          <w:numId w:val="2"/>
        </w:numPr>
        <w:ind w:left="0" w:firstLine="624"/>
        <w:jc w:val="both"/>
        <w:rPr>
          <w:rFonts w:ascii="仿宋" w:eastAsia="仿宋" w:hAnsi="仿宋" w:cs="仿宋_GB2312"/>
          <w:kern w:val="0"/>
          <w:sz w:val="32"/>
          <w:szCs w:val="32"/>
        </w:rPr>
      </w:pPr>
      <w:r>
        <w:rPr>
          <w:rFonts w:ascii="仿宋" w:eastAsia="仿宋" w:hAnsi="仿宋" w:cs="仿宋" w:hint="eastAsia"/>
          <w:sz w:val="32"/>
          <w:szCs w:val="32"/>
          <w:lang w:bidi="ar"/>
        </w:rPr>
        <w:t>签订《中国银行间市场债券回购交易主协议》，</w:t>
      </w:r>
      <w:r>
        <w:rPr>
          <w:rFonts w:ascii="仿宋" w:eastAsia="仿宋" w:hAnsi="仿宋" w:cs="仿宋_GB2312" w:hint="eastAsia"/>
          <w:kern w:val="0"/>
          <w:sz w:val="32"/>
          <w:szCs w:val="32"/>
          <w:lang w:bidi="ar"/>
        </w:rPr>
        <w:t>符合上海清算所相关资质要求的银行间市场债券回购业务参与者（以下简称业务参与者），可申请参与通用回购业务。</w:t>
      </w:r>
    </w:p>
    <w:p w:rsidR="00AC321B" w:rsidRDefault="00AC4325">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所有已成为债券净额清算会员的业务参与者，可申请参与通用回购业务。上海清算所债券净额非清算会员，可向债券净额综合清算会员申请参与通用回购业务，并由综合清算会员向上海清算所报备开通业务权限。</w:t>
      </w:r>
    </w:p>
    <w:p w:rsidR="00AC321B" w:rsidRDefault="00AC4325">
      <w:pPr>
        <w:pStyle w:val="a9"/>
        <w:numPr>
          <w:ilvl w:val="0"/>
          <w:numId w:val="2"/>
        </w:numPr>
        <w:ind w:left="0" w:firstLine="624"/>
        <w:jc w:val="both"/>
        <w:rPr>
          <w:rFonts w:ascii="仿宋" w:eastAsia="仿宋" w:hAnsi="仿宋" w:cs="仿宋_GB2312"/>
          <w:kern w:val="0"/>
          <w:sz w:val="32"/>
          <w:szCs w:val="32"/>
        </w:rPr>
      </w:pPr>
      <w:r>
        <w:rPr>
          <w:rFonts w:ascii="仿宋" w:eastAsia="仿宋" w:hAnsi="仿宋" w:cs="仿宋_GB2312" w:hint="eastAsia"/>
          <w:kern w:val="0"/>
          <w:sz w:val="32"/>
          <w:szCs w:val="32"/>
          <w:lang w:bidi="ar"/>
        </w:rPr>
        <w:t>参与通用回购业务前，业务参与者应与上海清算所签订中央对手方清算相关协议，认可和遵守上海清算所就担保品管理的相关要求，完成与上海清算所的联网并符合规定的其他要求。综合清算会员开展代理清算业务前，还需与非清算会员签订代理清算协议并提交上海清算所备案。</w:t>
      </w:r>
    </w:p>
    <w:p w:rsidR="00AC321B" w:rsidRDefault="00AC4325">
      <w:pPr>
        <w:pStyle w:val="a9"/>
        <w:numPr>
          <w:ilvl w:val="0"/>
          <w:numId w:val="2"/>
        </w:numPr>
        <w:ind w:left="0" w:firstLine="624"/>
        <w:jc w:val="both"/>
        <w:rPr>
          <w:rFonts w:ascii="仿宋" w:eastAsia="仿宋" w:hAnsi="仿宋" w:cs="仿宋_GB2312"/>
          <w:kern w:val="0"/>
          <w:sz w:val="32"/>
          <w:szCs w:val="32"/>
        </w:rPr>
      </w:pPr>
      <w:r>
        <w:rPr>
          <w:rFonts w:ascii="仿宋" w:eastAsia="仿宋" w:hAnsi="仿宋" w:cs="仿宋_GB2312" w:hint="eastAsia"/>
          <w:kern w:val="0"/>
          <w:sz w:val="32"/>
          <w:szCs w:val="32"/>
          <w:lang w:bidi="ar"/>
        </w:rPr>
        <w:t>通用回购业务与债券净额清算业务共用资金结算账户，用于净额轧差后的资金结算；设立保证金账户、清算基金账</w:t>
      </w:r>
      <w:r>
        <w:rPr>
          <w:rFonts w:ascii="仿宋" w:eastAsia="仿宋" w:hAnsi="仿宋" w:cs="仿宋_GB2312" w:hint="eastAsia"/>
          <w:kern w:val="0"/>
          <w:sz w:val="32"/>
          <w:szCs w:val="32"/>
          <w:lang w:bidi="ar"/>
        </w:rPr>
        <w:lastRenderedPageBreak/>
        <w:t>户，用于管理和核算清算会员缴纳的保证金、清算基金。清算会员应授权上海清算所对上述账户进行直接借记或贷记处理。</w:t>
      </w:r>
    </w:p>
    <w:p w:rsidR="00AC321B" w:rsidRDefault="00AC4325">
      <w:pPr>
        <w:pStyle w:val="a9"/>
        <w:numPr>
          <w:ilvl w:val="0"/>
          <w:numId w:val="2"/>
        </w:numPr>
        <w:ind w:left="0" w:firstLine="624"/>
        <w:jc w:val="both"/>
        <w:rPr>
          <w:rFonts w:ascii="仿宋" w:eastAsia="仿宋" w:hAnsi="仿宋" w:cs="仿宋_GB2312"/>
          <w:kern w:val="0"/>
          <w:sz w:val="32"/>
          <w:szCs w:val="32"/>
        </w:rPr>
      </w:pPr>
      <w:r>
        <w:rPr>
          <w:rFonts w:ascii="仿宋" w:eastAsia="仿宋" w:hAnsi="仿宋" w:cs="仿宋_GB2312" w:hint="eastAsia"/>
          <w:kern w:val="0"/>
          <w:sz w:val="32"/>
          <w:szCs w:val="32"/>
          <w:lang w:bidi="ar"/>
        </w:rPr>
        <w:t>上海清算所为通用回购业务参与者在其债券账户下</w:t>
      </w:r>
      <w:r>
        <w:rPr>
          <w:rFonts w:ascii="仿宋" w:eastAsia="仿宋" w:hAnsi="仿宋" w:cs="仿宋" w:hint="eastAsia"/>
          <w:sz w:val="32"/>
          <w:szCs w:val="32"/>
          <w:lang w:bidi="ar"/>
        </w:rPr>
        <w:t>设立担保券库，用于存放业务参与者提交的、拟融资或已融资的债券。</w:t>
      </w:r>
    </w:p>
    <w:p w:rsidR="00AC321B" w:rsidRDefault="00AC4325">
      <w:pPr>
        <w:pStyle w:val="a9"/>
        <w:numPr>
          <w:ilvl w:val="0"/>
          <w:numId w:val="2"/>
        </w:numPr>
        <w:ind w:left="0" w:firstLine="624"/>
        <w:jc w:val="both"/>
        <w:rPr>
          <w:rFonts w:ascii="仿宋" w:eastAsia="仿宋" w:hAnsi="仿宋" w:cs="仿宋_GB2312"/>
          <w:kern w:val="0"/>
          <w:sz w:val="32"/>
          <w:szCs w:val="32"/>
        </w:rPr>
      </w:pPr>
      <w:r>
        <w:rPr>
          <w:rFonts w:ascii="仿宋" w:eastAsia="仿宋" w:hAnsi="仿宋" w:cs="仿宋" w:hint="eastAsia"/>
          <w:sz w:val="32"/>
          <w:szCs w:val="32"/>
          <w:lang w:bidi="ar"/>
        </w:rPr>
        <w:t>业务</w:t>
      </w:r>
      <w:r>
        <w:rPr>
          <w:rFonts w:ascii="仿宋" w:eastAsia="仿宋" w:hAnsi="仿宋" w:cs="仿宋_GB2312" w:hint="eastAsia"/>
          <w:kern w:val="0"/>
          <w:sz w:val="32"/>
          <w:szCs w:val="32"/>
          <w:lang w:bidi="ar"/>
        </w:rPr>
        <w:t>参与者应指派两名以上清算专员和一名风控专员，代表其与上海清算所进行业务联系。清算会员对其指派的清算专员、风控专员在上海清算所的通用回购业务活动负责。</w:t>
      </w:r>
    </w:p>
    <w:p w:rsidR="00AC321B" w:rsidRDefault="00AC4325">
      <w:pPr>
        <w:pStyle w:val="a9"/>
        <w:numPr>
          <w:ilvl w:val="0"/>
          <w:numId w:val="2"/>
        </w:numPr>
        <w:ind w:left="0" w:firstLine="624"/>
        <w:jc w:val="both"/>
        <w:rPr>
          <w:rFonts w:ascii="仿宋" w:eastAsia="仿宋" w:hAnsi="仿宋" w:cs="仿宋_GB2312"/>
          <w:kern w:val="0"/>
          <w:sz w:val="32"/>
          <w:szCs w:val="32"/>
        </w:rPr>
      </w:pPr>
      <w:r>
        <w:rPr>
          <w:rFonts w:ascii="仿宋" w:eastAsia="仿宋" w:hAnsi="仿宋" w:cs="仿宋_GB2312" w:hint="eastAsia"/>
          <w:kern w:val="0"/>
          <w:sz w:val="32"/>
          <w:szCs w:val="32"/>
          <w:lang w:bidi="ar"/>
        </w:rPr>
        <w:t>上海清算所使用以自身名义开立的清算资金账户、违约处置资金账户和违约处置证券账户，用于办理通用回购业务日常资金收付以及存放违约处置时暂不交付的资金和债券。</w:t>
      </w:r>
    </w:p>
    <w:p w:rsidR="00AC321B" w:rsidRDefault="00AC321B">
      <w:pPr>
        <w:spacing w:line="580" w:lineRule="exact"/>
        <w:jc w:val="center"/>
        <w:rPr>
          <w:rFonts w:ascii="仿宋" w:eastAsia="仿宋" w:hAnsi="仿宋" w:cs="仿宋_GB2312"/>
          <w:b/>
          <w:kern w:val="0"/>
          <w:sz w:val="32"/>
          <w:szCs w:val="32"/>
        </w:rPr>
      </w:pPr>
    </w:p>
    <w:p w:rsidR="00AC321B" w:rsidRDefault="00AC4325">
      <w:pPr>
        <w:spacing w:line="580" w:lineRule="exact"/>
        <w:jc w:val="center"/>
        <w:rPr>
          <w:rFonts w:ascii="黑体" w:eastAsia="黑体" w:hAnsi="宋体" w:cs="仿宋_GB2312"/>
          <w:kern w:val="0"/>
          <w:sz w:val="32"/>
          <w:szCs w:val="32"/>
        </w:rPr>
      </w:pPr>
      <w:r>
        <w:rPr>
          <w:rFonts w:ascii="黑体" w:eastAsia="黑体" w:hAnsi="宋体" w:cs="仿宋_GB2312" w:hint="eastAsia"/>
          <w:kern w:val="0"/>
          <w:sz w:val="32"/>
          <w:szCs w:val="32"/>
          <w:lang w:bidi="ar"/>
        </w:rPr>
        <w:t>第三章 合资格债券与折扣率</w:t>
      </w:r>
    </w:p>
    <w:p w:rsidR="00AC321B" w:rsidRDefault="00AC4325">
      <w:pPr>
        <w:pStyle w:val="a9"/>
        <w:numPr>
          <w:ilvl w:val="0"/>
          <w:numId w:val="2"/>
        </w:numPr>
        <w:ind w:left="0" w:firstLine="624"/>
        <w:jc w:val="both"/>
        <w:rPr>
          <w:rFonts w:ascii="仿宋" w:eastAsia="仿宋" w:hAnsi="仿宋" w:cs="仿宋_GB2312"/>
          <w:kern w:val="0"/>
          <w:sz w:val="32"/>
          <w:szCs w:val="32"/>
        </w:rPr>
      </w:pPr>
      <w:r>
        <w:rPr>
          <w:rFonts w:ascii="仿宋" w:eastAsia="仿宋" w:hAnsi="仿宋" w:cs="仿宋_GB2312" w:hint="eastAsia"/>
          <w:kern w:val="0"/>
          <w:sz w:val="32"/>
          <w:szCs w:val="32"/>
          <w:lang w:bidi="ar"/>
        </w:rPr>
        <w:t>上海清算所负责设定可纳入通用回购业务的合资格债券标准。业务参与者应使用合资格债券作为通用回购业务的担保品。</w:t>
      </w:r>
    </w:p>
    <w:p w:rsidR="00AC321B" w:rsidRDefault="00AC4325">
      <w:pPr>
        <w:pStyle w:val="a9"/>
        <w:numPr>
          <w:ilvl w:val="0"/>
          <w:numId w:val="2"/>
        </w:numPr>
        <w:ind w:left="0" w:firstLine="624"/>
        <w:jc w:val="both"/>
        <w:rPr>
          <w:rFonts w:ascii="仿宋" w:eastAsia="仿宋" w:hAnsi="仿宋" w:cs="仿宋"/>
          <w:sz w:val="32"/>
          <w:szCs w:val="32"/>
        </w:rPr>
      </w:pPr>
      <w:r>
        <w:rPr>
          <w:rFonts w:ascii="仿宋" w:eastAsia="仿宋" w:hAnsi="仿宋" w:cs="仿宋_GB2312" w:hint="eastAsia"/>
          <w:kern w:val="0"/>
          <w:sz w:val="32"/>
          <w:szCs w:val="32"/>
          <w:lang w:bidi="ar"/>
        </w:rPr>
        <w:t>上海清算所对担保券提供自动选取、估值盯市等集中管理服务。业务参与者应确保交易存续期担保品价值足额。</w:t>
      </w:r>
    </w:p>
    <w:p w:rsidR="00AC321B" w:rsidRDefault="00AC4325">
      <w:pPr>
        <w:pStyle w:val="a9"/>
        <w:numPr>
          <w:ilvl w:val="0"/>
          <w:numId w:val="2"/>
        </w:numPr>
        <w:ind w:left="0" w:firstLine="624"/>
        <w:jc w:val="both"/>
        <w:rPr>
          <w:rFonts w:ascii="仿宋" w:eastAsia="仿宋" w:hAnsi="仿宋" w:cs="仿宋_GB2312"/>
          <w:kern w:val="0"/>
          <w:sz w:val="32"/>
          <w:szCs w:val="32"/>
        </w:rPr>
      </w:pPr>
      <w:r>
        <w:rPr>
          <w:rFonts w:ascii="仿宋" w:eastAsia="仿宋" w:hAnsi="仿宋" w:cs="仿宋_GB2312" w:hint="eastAsia"/>
          <w:kern w:val="0"/>
          <w:sz w:val="32"/>
          <w:szCs w:val="32"/>
          <w:lang w:bidi="ar"/>
        </w:rPr>
        <w:t>通用回购业务折扣率由担保品折扣率、参与者折扣率和逆周期调节因子等组成。上海清算所有权根据市场运行情况、主管部门要求及相关规定，适时调整通用回购业务的合资格债券和折扣率标准，并及时向市场公布。</w:t>
      </w:r>
    </w:p>
    <w:p w:rsidR="00AC321B" w:rsidRDefault="00AC321B">
      <w:pPr>
        <w:spacing w:line="580" w:lineRule="exact"/>
        <w:jc w:val="center"/>
        <w:rPr>
          <w:rFonts w:ascii="仿宋" w:eastAsia="仿宋" w:hAnsi="仿宋" w:cs="仿宋_GB2312"/>
          <w:b/>
          <w:kern w:val="0"/>
          <w:sz w:val="32"/>
          <w:szCs w:val="32"/>
        </w:rPr>
      </w:pPr>
    </w:p>
    <w:p w:rsidR="00AC321B" w:rsidRDefault="00AC4325">
      <w:pPr>
        <w:spacing w:line="580" w:lineRule="exact"/>
        <w:jc w:val="center"/>
        <w:rPr>
          <w:rFonts w:ascii="黑体" w:eastAsia="黑体" w:hAnsi="宋体" w:cs="仿宋_GB2312"/>
          <w:kern w:val="0"/>
          <w:sz w:val="32"/>
          <w:szCs w:val="32"/>
        </w:rPr>
      </w:pPr>
      <w:r>
        <w:rPr>
          <w:rFonts w:ascii="黑体" w:eastAsia="黑体" w:hAnsi="宋体" w:cs="仿宋_GB2312" w:hint="eastAsia"/>
          <w:kern w:val="0"/>
          <w:sz w:val="32"/>
          <w:szCs w:val="32"/>
          <w:lang w:bidi="ar"/>
        </w:rPr>
        <w:t>第四章 担保券库总价值与额度管理</w:t>
      </w:r>
    </w:p>
    <w:p w:rsidR="00AC321B" w:rsidRDefault="00AC4325">
      <w:pPr>
        <w:pStyle w:val="a9"/>
        <w:numPr>
          <w:ilvl w:val="0"/>
          <w:numId w:val="2"/>
        </w:numPr>
        <w:ind w:left="0" w:firstLine="624"/>
        <w:jc w:val="both"/>
        <w:rPr>
          <w:rFonts w:ascii="仿宋" w:eastAsia="仿宋" w:hAnsi="仿宋" w:cs="仿宋_GB2312"/>
          <w:kern w:val="0"/>
          <w:sz w:val="32"/>
          <w:szCs w:val="32"/>
        </w:rPr>
      </w:pPr>
      <w:r>
        <w:rPr>
          <w:rFonts w:ascii="仿宋" w:eastAsia="仿宋" w:hAnsi="仿宋" w:cs="仿宋_GB2312" w:hint="eastAsia"/>
          <w:kern w:val="0"/>
          <w:sz w:val="32"/>
          <w:szCs w:val="32"/>
          <w:lang w:bidi="ar"/>
        </w:rPr>
        <w:t>担保券库总价值基于业务参与者担保券库的债券数量、估值、折扣率等计算。若担保券库总价值不足以覆盖存续期交易的，业务参与者应按上海清算所要求及时补库。</w:t>
      </w:r>
    </w:p>
    <w:p w:rsidR="00AC321B" w:rsidRDefault="00AC4325">
      <w:pPr>
        <w:pStyle w:val="a9"/>
        <w:numPr>
          <w:ilvl w:val="0"/>
          <w:numId w:val="2"/>
        </w:numPr>
        <w:ind w:left="0" w:firstLine="624"/>
        <w:jc w:val="both"/>
        <w:rPr>
          <w:rFonts w:ascii="仿宋" w:eastAsia="仿宋" w:hAnsi="仿宋" w:cs="仿宋"/>
          <w:sz w:val="32"/>
          <w:szCs w:val="32"/>
        </w:rPr>
      </w:pPr>
      <w:r>
        <w:rPr>
          <w:rFonts w:ascii="仿宋" w:eastAsia="仿宋" w:hAnsi="仿宋" w:cs="仿宋_GB2312" w:hint="eastAsia"/>
          <w:kern w:val="0"/>
          <w:sz w:val="32"/>
          <w:szCs w:val="32"/>
          <w:lang w:bidi="ar"/>
        </w:rPr>
        <w:t>业务参与者的交易额度包括可融资额度和可融出额度。可融资额度基于担保券库总价值计算，用于管理业务参与者融入资金的规模。可融出额度基于业务参与者申报的可融出限额计算，用于管理业务参与者融出资金的规模。</w:t>
      </w:r>
    </w:p>
    <w:p w:rsidR="00AC321B" w:rsidRDefault="00AC4325">
      <w:pPr>
        <w:pStyle w:val="a9"/>
        <w:numPr>
          <w:ilvl w:val="0"/>
          <w:numId w:val="2"/>
        </w:numPr>
        <w:ind w:left="0" w:firstLine="624"/>
        <w:jc w:val="both"/>
        <w:rPr>
          <w:rFonts w:ascii="仿宋" w:eastAsia="仿宋" w:hAnsi="仿宋" w:cs="仿宋_GB2312"/>
          <w:kern w:val="0"/>
          <w:sz w:val="32"/>
          <w:szCs w:val="32"/>
        </w:rPr>
      </w:pPr>
      <w:r>
        <w:rPr>
          <w:rFonts w:ascii="仿宋" w:eastAsia="仿宋" w:hAnsi="仿宋" w:cs="仿宋_GB2312" w:hint="eastAsia"/>
          <w:kern w:val="0"/>
          <w:sz w:val="32"/>
          <w:szCs w:val="32"/>
          <w:lang w:bidi="ar"/>
        </w:rPr>
        <w:t>业务参与者进行通用回购交易，需满足额度管理要求：即业务参与者每笔正回购交易对应的到期结算金额不得大于实时可融资额度，每笔逆回购交易对应的首期结算金额不得大于实时可融出额度。</w:t>
      </w:r>
    </w:p>
    <w:p w:rsidR="00AC321B" w:rsidRDefault="00AC4325">
      <w:pPr>
        <w:pStyle w:val="a9"/>
        <w:numPr>
          <w:ilvl w:val="0"/>
          <w:numId w:val="2"/>
        </w:numPr>
        <w:ind w:left="0" w:firstLine="624"/>
        <w:jc w:val="both"/>
        <w:rPr>
          <w:rFonts w:ascii="仿宋" w:eastAsia="仿宋" w:hAnsi="仿宋" w:cs="仿宋_GB2312"/>
          <w:kern w:val="0"/>
          <w:sz w:val="32"/>
          <w:szCs w:val="32"/>
        </w:rPr>
      </w:pPr>
      <w:r>
        <w:rPr>
          <w:rFonts w:ascii="仿宋" w:eastAsia="仿宋" w:hAnsi="仿宋" w:cs="仿宋_GB2312" w:hint="eastAsia"/>
          <w:kern w:val="0"/>
          <w:sz w:val="32"/>
          <w:szCs w:val="32"/>
          <w:lang w:bidi="ar"/>
        </w:rPr>
        <w:t>上海清算所每日日间和日终分别为业务参与者计算交易额度，传输至同业拆借中心。每日日间交易休市时段前，同业拆借中心根据上一工作日日终的额度及机构实时报价交易情况进行额度管理；每日午间休市时段后，同业拆借中心根据当日日间额度及机构实时报价交易情况进行额度管理。</w:t>
      </w:r>
    </w:p>
    <w:p w:rsidR="00AC321B" w:rsidRDefault="00AC321B">
      <w:pPr>
        <w:spacing w:line="580" w:lineRule="exact"/>
        <w:jc w:val="center"/>
        <w:rPr>
          <w:rFonts w:ascii="仿宋" w:eastAsia="仿宋" w:hAnsi="仿宋" w:cs="仿宋_GB2312"/>
          <w:b/>
          <w:kern w:val="0"/>
          <w:sz w:val="32"/>
          <w:szCs w:val="32"/>
        </w:rPr>
      </w:pPr>
    </w:p>
    <w:p w:rsidR="00AC321B" w:rsidRDefault="00AC4325">
      <w:pPr>
        <w:spacing w:line="580" w:lineRule="exact"/>
        <w:jc w:val="center"/>
        <w:rPr>
          <w:rFonts w:ascii="黑体" w:eastAsia="黑体" w:hAnsi="宋体" w:cs="仿宋_GB2312"/>
          <w:kern w:val="0"/>
          <w:sz w:val="32"/>
          <w:szCs w:val="32"/>
        </w:rPr>
      </w:pPr>
      <w:r>
        <w:rPr>
          <w:rFonts w:ascii="黑体" w:eastAsia="黑体" w:hAnsi="宋体" w:cs="仿宋_GB2312" w:hint="eastAsia"/>
          <w:kern w:val="0"/>
          <w:sz w:val="32"/>
          <w:szCs w:val="32"/>
          <w:lang w:bidi="ar"/>
        </w:rPr>
        <w:t>第五章 担保券出入库管理</w:t>
      </w:r>
    </w:p>
    <w:p w:rsidR="00AC321B" w:rsidRDefault="00AC4325">
      <w:pPr>
        <w:pStyle w:val="a9"/>
        <w:numPr>
          <w:ilvl w:val="0"/>
          <w:numId w:val="2"/>
        </w:numPr>
        <w:ind w:left="0" w:firstLine="624"/>
        <w:jc w:val="both"/>
        <w:rPr>
          <w:rFonts w:ascii="仿宋" w:eastAsia="仿宋" w:hAnsi="仿宋" w:cs="仿宋_GB2312"/>
          <w:kern w:val="0"/>
          <w:sz w:val="32"/>
          <w:szCs w:val="32"/>
        </w:rPr>
      </w:pPr>
      <w:r>
        <w:rPr>
          <w:rFonts w:ascii="仿宋" w:eastAsia="仿宋" w:hAnsi="仿宋" w:cs="仿宋_GB2312" w:hint="eastAsia"/>
          <w:kern w:val="0"/>
          <w:sz w:val="32"/>
          <w:szCs w:val="32"/>
          <w:lang w:bidi="ar"/>
        </w:rPr>
        <w:t>业务参与者需通过上海清算所系统主动提交担保券出入库指令，包括入库、日终批量出库、实时出库、替换。担</w:t>
      </w:r>
      <w:r>
        <w:rPr>
          <w:rFonts w:ascii="仿宋" w:eastAsia="仿宋" w:hAnsi="仿宋" w:cs="仿宋_GB2312" w:hint="eastAsia"/>
          <w:kern w:val="0"/>
          <w:sz w:val="32"/>
          <w:szCs w:val="32"/>
          <w:lang w:bidi="ar"/>
        </w:rPr>
        <w:lastRenderedPageBreak/>
        <w:t>保券出入库处理完成后不实时更新可融资额度，每日日间和日终后，上海清算所统一计算可融资额度，并传输至同业拆借中心进行额度管理。</w:t>
      </w:r>
    </w:p>
    <w:p w:rsidR="00AC321B" w:rsidRDefault="00AC4325">
      <w:pPr>
        <w:pStyle w:val="a9"/>
        <w:numPr>
          <w:ilvl w:val="0"/>
          <w:numId w:val="2"/>
        </w:numPr>
        <w:ind w:left="0" w:firstLine="624"/>
        <w:jc w:val="both"/>
        <w:rPr>
          <w:rFonts w:ascii="仿宋" w:eastAsia="仿宋" w:hAnsi="仿宋" w:cs="仿宋_GB2312"/>
          <w:kern w:val="0"/>
          <w:sz w:val="32"/>
          <w:szCs w:val="32"/>
        </w:rPr>
      </w:pPr>
      <w:r>
        <w:rPr>
          <w:rFonts w:ascii="仿宋" w:eastAsia="仿宋" w:hAnsi="仿宋" w:cs="仿宋_GB2312" w:hint="eastAsia"/>
          <w:kern w:val="0"/>
          <w:sz w:val="32"/>
          <w:szCs w:val="32"/>
          <w:lang w:bidi="ar"/>
        </w:rPr>
        <w:t>担保券入库申请实时处理，担保券入库处理成功后实时计增担保券库总价值。</w:t>
      </w:r>
    </w:p>
    <w:p w:rsidR="00AC321B" w:rsidRDefault="00AC4325">
      <w:pPr>
        <w:pStyle w:val="a9"/>
        <w:numPr>
          <w:ilvl w:val="0"/>
          <w:numId w:val="2"/>
        </w:numPr>
        <w:ind w:left="0" w:firstLine="624"/>
        <w:jc w:val="both"/>
        <w:rPr>
          <w:rFonts w:ascii="仿宋" w:eastAsia="仿宋" w:hAnsi="仿宋" w:cs="仿宋_GB2312"/>
          <w:kern w:val="0"/>
          <w:sz w:val="32"/>
          <w:szCs w:val="32"/>
        </w:rPr>
      </w:pPr>
      <w:r>
        <w:rPr>
          <w:rFonts w:ascii="仿宋" w:eastAsia="仿宋" w:hAnsi="仿宋" w:cs="仿宋_GB2312" w:hint="eastAsia"/>
          <w:kern w:val="0"/>
          <w:sz w:val="32"/>
          <w:szCs w:val="32"/>
          <w:lang w:bidi="ar"/>
        </w:rPr>
        <w:t>担保券出库申请分为日终批量出库和实时出库。日终批量出库可在日间提交申请、日终结算完成后批量处理。实时出库可在日终结算完成后提交并实时处理。担保券出库处理成功后实时计减担保券库总价值。</w:t>
      </w:r>
    </w:p>
    <w:p w:rsidR="00AC321B" w:rsidRDefault="00AC4325">
      <w:pPr>
        <w:pStyle w:val="a9"/>
        <w:numPr>
          <w:ilvl w:val="0"/>
          <w:numId w:val="2"/>
        </w:numPr>
        <w:ind w:left="0" w:firstLine="624"/>
        <w:jc w:val="both"/>
        <w:rPr>
          <w:rFonts w:ascii="仿宋" w:eastAsia="仿宋" w:hAnsi="仿宋" w:cs="仿宋"/>
          <w:sz w:val="32"/>
          <w:szCs w:val="32"/>
        </w:rPr>
      </w:pPr>
      <w:r>
        <w:rPr>
          <w:rFonts w:ascii="仿宋" w:eastAsia="仿宋" w:hAnsi="仿宋" w:cs="仿宋" w:hint="eastAsia"/>
          <w:sz w:val="32"/>
          <w:szCs w:val="32"/>
          <w:lang w:bidi="ar"/>
        </w:rPr>
        <w:t>担保券替换申请</w:t>
      </w:r>
      <w:r>
        <w:rPr>
          <w:rFonts w:ascii="仿宋" w:eastAsia="仿宋" w:hAnsi="仿宋" w:cs="仿宋_GB2312" w:hint="eastAsia"/>
          <w:kern w:val="0"/>
          <w:sz w:val="32"/>
          <w:szCs w:val="32"/>
          <w:lang w:bidi="ar"/>
        </w:rPr>
        <w:t>实时处理</w:t>
      </w:r>
      <w:r>
        <w:rPr>
          <w:rFonts w:ascii="仿宋" w:eastAsia="仿宋" w:hAnsi="仿宋" w:cs="仿宋" w:hint="eastAsia"/>
          <w:sz w:val="32"/>
          <w:szCs w:val="32"/>
          <w:lang w:bidi="ar"/>
        </w:rPr>
        <w:t>，替换处理成功后实时更新担保券库总价值。</w:t>
      </w:r>
    </w:p>
    <w:p w:rsidR="00AC321B" w:rsidRDefault="00AC4325">
      <w:pPr>
        <w:pStyle w:val="a9"/>
        <w:numPr>
          <w:ilvl w:val="0"/>
          <w:numId w:val="2"/>
        </w:numPr>
        <w:ind w:left="0" w:firstLine="624"/>
        <w:jc w:val="both"/>
        <w:rPr>
          <w:rFonts w:ascii="仿宋" w:eastAsia="仿宋" w:hAnsi="仿宋" w:cs="仿宋"/>
          <w:sz w:val="32"/>
          <w:szCs w:val="32"/>
        </w:rPr>
      </w:pPr>
      <w:r>
        <w:rPr>
          <w:rFonts w:ascii="仿宋" w:eastAsia="仿宋" w:hAnsi="仿宋" w:cs="仿宋" w:hint="eastAsia"/>
          <w:sz w:val="32"/>
          <w:szCs w:val="32"/>
          <w:lang w:bidi="ar"/>
        </w:rPr>
        <w:t>上海清算所根据合资格债券列表等要求确定强制出库的担保券列表，在满足价值检查条件后自动将债券从担保券库划出。</w:t>
      </w:r>
    </w:p>
    <w:p w:rsidR="00AC321B" w:rsidRDefault="00AC321B">
      <w:pPr>
        <w:spacing w:line="580" w:lineRule="exact"/>
        <w:ind w:firstLineChars="1050" w:firstLine="3373"/>
        <w:rPr>
          <w:rFonts w:ascii="仿宋" w:eastAsia="仿宋" w:hAnsi="仿宋" w:cs="仿宋"/>
          <w:b/>
          <w:sz w:val="32"/>
          <w:szCs w:val="32"/>
        </w:rPr>
      </w:pPr>
    </w:p>
    <w:p w:rsidR="00AC321B" w:rsidRDefault="00AC4325">
      <w:pPr>
        <w:spacing w:line="580" w:lineRule="exact"/>
        <w:jc w:val="center"/>
        <w:rPr>
          <w:rFonts w:ascii="黑体" w:eastAsia="黑体" w:hAnsi="宋体" w:cs="仿宋_GB2312"/>
          <w:kern w:val="0"/>
          <w:sz w:val="32"/>
          <w:szCs w:val="32"/>
        </w:rPr>
      </w:pPr>
      <w:r>
        <w:rPr>
          <w:rFonts w:ascii="黑体" w:eastAsia="黑体" w:hAnsi="宋体" w:cs="仿宋_GB2312" w:hint="eastAsia"/>
          <w:kern w:val="0"/>
          <w:sz w:val="32"/>
          <w:szCs w:val="32"/>
          <w:lang w:bidi="ar"/>
        </w:rPr>
        <w:t>第六章 交易</w:t>
      </w:r>
    </w:p>
    <w:p w:rsidR="00AC321B" w:rsidRDefault="00AC4325">
      <w:pPr>
        <w:pStyle w:val="a9"/>
        <w:numPr>
          <w:ilvl w:val="0"/>
          <w:numId w:val="2"/>
        </w:numPr>
        <w:ind w:left="0" w:firstLine="624"/>
        <w:jc w:val="both"/>
        <w:rPr>
          <w:rFonts w:ascii="仿宋" w:eastAsia="仿宋" w:hAnsi="仿宋" w:cs="仿宋"/>
          <w:sz w:val="32"/>
          <w:szCs w:val="32"/>
        </w:rPr>
      </w:pPr>
      <w:r>
        <w:rPr>
          <w:rFonts w:ascii="仿宋" w:eastAsia="仿宋" w:hAnsi="仿宋" w:cs="仿宋" w:hint="eastAsia"/>
          <w:sz w:val="32"/>
          <w:szCs w:val="32"/>
          <w:lang w:bidi="ar"/>
        </w:rPr>
        <w:t>业务参与者需通过同业拆借中心交易系统达成交易并遵守同业拆借中心债券回购相关业务细则。同业拆借中心根据机构申请为符合条件的业务参与者维护通用回购业务交易权限。</w:t>
      </w:r>
    </w:p>
    <w:p w:rsidR="00AC321B" w:rsidRDefault="00AC4325">
      <w:pPr>
        <w:pStyle w:val="a9"/>
        <w:numPr>
          <w:ilvl w:val="0"/>
          <w:numId w:val="2"/>
        </w:numPr>
        <w:ind w:left="0" w:firstLine="624"/>
        <w:jc w:val="both"/>
        <w:rPr>
          <w:rFonts w:ascii="仿宋" w:eastAsia="仿宋" w:hAnsi="仿宋" w:cs="仿宋"/>
          <w:sz w:val="32"/>
          <w:szCs w:val="32"/>
        </w:rPr>
      </w:pPr>
      <w:r>
        <w:rPr>
          <w:rFonts w:ascii="仿宋" w:eastAsia="仿宋" w:hAnsi="仿宋" w:cs="仿宋" w:hint="eastAsia"/>
          <w:sz w:val="32"/>
          <w:szCs w:val="32"/>
          <w:lang w:bidi="ar"/>
        </w:rPr>
        <w:t>同业拆借中心为通用回购业务提供报价交易、信息查询等交易相关服务。</w:t>
      </w:r>
      <w:r>
        <w:rPr>
          <w:rFonts w:ascii="仿宋" w:eastAsia="仿宋" w:hAnsi="仿宋" w:cs="仿宋_GB2312" w:hint="eastAsia"/>
          <w:kern w:val="0"/>
          <w:sz w:val="32"/>
          <w:szCs w:val="32"/>
          <w:lang w:bidi="ar"/>
        </w:rPr>
        <w:t>业务参与者需在额度范围内进行交易，</w:t>
      </w:r>
      <w:r>
        <w:rPr>
          <w:rFonts w:ascii="仿宋" w:eastAsia="仿宋" w:hAnsi="仿宋" w:cs="仿宋" w:hint="eastAsia"/>
          <w:sz w:val="32"/>
          <w:szCs w:val="32"/>
          <w:lang w:bidi="ar"/>
        </w:rPr>
        <w:lastRenderedPageBreak/>
        <w:t>无需约定具体担保券。交易达成后，本币交易系统自动生成成交单，其中显示交易对手为上海清算所，并由上海清算所作为中央对手方提供担保品管理服务。</w:t>
      </w:r>
    </w:p>
    <w:p w:rsidR="00AC321B" w:rsidRDefault="00AC4325">
      <w:pPr>
        <w:pStyle w:val="a9"/>
        <w:numPr>
          <w:ilvl w:val="0"/>
          <w:numId w:val="2"/>
        </w:numPr>
        <w:ind w:left="0" w:firstLine="624"/>
        <w:jc w:val="both"/>
        <w:rPr>
          <w:rFonts w:ascii="仿宋" w:eastAsia="仿宋" w:hAnsi="仿宋" w:cs="仿宋"/>
          <w:sz w:val="32"/>
          <w:szCs w:val="32"/>
        </w:rPr>
      </w:pPr>
      <w:r>
        <w:rPr>
          <w:rFonts w:ascii="仿宋" w:eastAsia="仿宋" w:hAnsi="仿宋" w:cs="仿宋" w:hint="eastAsia"/>
          <w:sz w:val="32"/>
          <w:szCs w:val="32"/>
          <w:lang w:bidi="ar"/>
        </w:rPr>
        <w:t>通用回购业务最长期限不超过365天，交易时间为每工作日上午9:00-12:00、下午13:30-15:30。</w:t>
      </w:r>
    </w:p>
    <w:p w:rsidR="00AC321B" w:rsidRDefault="00AC321B">
      <w:pPr>
        <w:spacing w:line="580" w:lineRule="exact"/>
        <w:jc w:val="center"/>
        <w:rPr>
          <w:rFonts w:ascii="仿宋" w:eastAsia="仿宋" w:hAnsi="仿宋" w:cs="仿宋_GB2312"/>
          <w:b/>
          <w:kern w:val="0"/>
          <w:sz w:val="32"/>
          <w:szCs w:val="32"/>
        </w:rPr>
      </w:pPr>
    </w:p>
    <w:p w:rsidR="00AC321B" w:rsidRDefault="00AC4325">
      <w:pPr>
        <w:spacing w:line="580" w:lineRule="exact"/>
        <w:jc w:val="center"/>
        <w:rPr>
          <w:rFonts w:ascii="黑体" w:eastAsia="黑体" w:hAnsi="宋体" w:cs="仿宋_GB2312"/>
          <w:kern w:val="0"/>
          <w:sz w:val="32"/>
          <w:szCs w:val="32"/>
        </w:rPr>
      </w:pPr>
      <w:r>
        <w:rPr>
          <w:rFonts w:ascii="黑体" w:eastAsia="黑体" w:hAnsi="宋体" w:cs="仿宋_GB2312" w:hint="eastAsia"/>
          <w:kern w:val="0"/>
          <w:sz w:val="32"/>
          <w:szCs w:val="32"/>
          <w:lang w:bidi="ar"/>
        </w:rPr>
        <w:t>第七章 清算与结算</w:t>
      </w:r>
    </w:p>
    <w:p w:rsidR="00AC321B" w:rsidRDefault="00AC4325">
      <w:pPr>
        <w:pStyle w:val="a9"/>
        <w:numPr>
          <w:ilvl w:val="0"/>
          <w:numId w:val="2"/>
        </w:numPr>
        <w:ind w:left="0" w:firstLine="624"/>
        <w:jc w:val="both"/>
        <w:rPr>
          <w:rFonts w:ascii="仿宋" w:eastAsia="仿宋" w:hAnsi="仿宋" w:cs="仿宋"/>
          <w:sz w:val="32"/>
          <w:szCs w:val="32"/>
        </w:rPr>
      </w:pPr>
      <w:r>
        <w:rPr>
          <w:rFonts w:ascii="仿宋" w:eastAsia="仿宋" w:hAnsi="仿宋" w:cs="仿宋" w:hint="eastAsia"/>
          <w:sz w:val="32"/>
          <w:szCs w:val="32"/>
          <w:lang w:bidi="ar"/>
        </w:rPr>
        <w:t>上海清算所系统实时接收通用回购业务成交数据，并进行风控检查和轧差处理。通用回购业务与债券净额清算业务的资金实行统一轧差和清算。</w:t>
      </w:r>
    </w:p>
    <w:p w:rsidR="00AC321B" w:rsidRDefault="00AC4325">
      <w:pPr>
        <w:pStyle w:val="a9"/>
        <w:numPr>
          <w:ilvl w:val="0"/>
          <w:numId w:val="2"/>
        </w:numPr>
        <w:ind w:left="0" w:firstLine="624"/>
        <w:jc w:val="both"/>
        <w:rPr>
          <w:rFonts w:ascii="仿宋" w:eastAsia="仿宋" w:hAnsi="仿宋" w:cs="仿宋"/>
          <w:sz w:val="32"/>
          <w:szCs w:val="32"/>
        </w:rPr>
      </w:pPr>
      <w:r>
        <w:rPr>
          <w:rFonts w:ascii="仿宋" w:eastAsia="仿宋" w:hAnsi="仿宋" w:cs="仿宋" w:hint="eastAsia"/>
          <w:sz w:val="32"/>
          <w:szCs w:val="32"/>
          <w:lang w:bidi="ar"/>
        </w:rPr>
        <w:t>对通过风控检查的成交数据，上海清算所将交易纳入净额处理，并承继应收或应付资金清算结算的权利和义务。</w:t>
      </w:r>
    </w:p>
    <w:p w:rsidR="00AC321B" w:rsidRDefault="00AC4325">
      <w:pPr>
        <w:pStyle w:val="a9"/>
        <w:numPr>
          <w:ilvl w:val="0"/>
          <w:numId w:val="2"/>
        </w:numPr>
        <w:ind w:left="0" w:firstLine="624"/>
        <w:jc w:val="both"/>
        <w:rPr>
          <w:rFonts w:ascii="仿宋" w:eastAsia="仿宋" w:hAnsi="仿宋" w:cs="仿宋_GB2312"/>
          <w:kern w:val="0"/>
          <w:sz w:val="32"/>
          <w:szCs w:val="32"/>
        </w:rPr>
      </w:pPr>
      <w:r>
        <w:rPr>
          <w:rFonts w:ascii="仿宋" w:eastAsia="仿宋" w:hAnsi="仿宋" w:cs="仿宋" w:hint="eastAsia"/>
          <w:sz w:val="32"/>
          <w:szCs w:val="32"/>
          <w:lang w:bidi="ar"/>
        </w:rPr>
        <w:t>上海清算所对通用回购交易头寸进行实时风险监控。上海清算所可视监控具体情形，对业务</w:t>
      </w:r>
      <w:r>
        <w:rPr>
          <w:rFonts w:ascii="仿宋" w:eastAsia="仿宋" w:hAnsi="仿宋" w:cs="仿宋_GB2312" w:hint="eastAsia"/>
          <w:kern w:val="0"/>
          <w:sz w:val="32"/>
          <w:szCs w:val="32"/>
          <w:lang w:bidi="ar"/>
        </w:rPr>
        <w:t>参与者采取风险提示、追加保证金、暂停通用回购业务资格等措施。</w:t>
      </w:r>
    </w:p>
    <w:p w:rsidR="00AC321B" w:rsidRDefault="00AC4325">
      <w:pPr>
        <w:pStyle w:val="a9"/>
        <w:numPr>
          <w:ilvl w:val="0"/>
          <w:numId w:val="2"/>
        </w:numPr>
        <w:ind w:left="0" w:firstLine="624"/>
        <w:jc w:val="both"/>
        <w:rPr>
          <w:rFonts w:ascii="仿宋" w:eastAsia="仿宋" w:hAnsi="仿宋" w:cs="仿宋"/>
          <w:sz w:val="32"/>
          <w:szCs w:val="32"/>
        </w:rPr>
      </w:pPr>
      <w:r>
        <w:rPr>
          <w:rFonts w:ascii="仿宋" w:eastAsia="仿宋" w:hAnsi="仿宋" w:cs="仿宋_GB2312" w:hint="eastAsia"/>
          <w:kern w:val="0"/>
          <w:sz w:val="32"/>
          <w:szCs w:val="32"/>
          <w:lang w:bidi="ar"/>
        </w:rPr>
        <w:t>上海清算所对当日结算的净额交易的资金进行最终轧差，计算各清算会员最终的应收或应付资金并通知清算会员。</w:t>
      </w:r>
    </w:p>
    <w:p w:rsidR="00AC321B" w:rsidRDefault="00AC4325">
      <w:pPr>
        <w:pStyle w:val="a9"/>
        <w:numPr>
          <w:ilvl w:val="0"/>
          <w:numId w:val="2"/>
        </w:numPr>
        <w:ind w:left="0" w:firstLine="624"/>
        <w:jc w:val="both"/>
        <w:rPr>
          <w:rFonts w:ascii="仿宋" w:eastAsia="仿宋" w:hAnsi="仿宋" w:cs="仿宋_GB2312"/>
          <w:kern w:val="0"/>
          <w:sz w:val="32"/>
          <w:szCs w:val="32"/>
        </w:rPr>
      </w:pPr>
      <w:r>
        <w:rPr>
          <w:rFonts w:ascii="仿宋" w:eastAsia="仿宋" w:hAnsi="仿宋" w:cs="仿宋_GB2312" w:hint="eastAsia"/>
          <w:kern w:val="0"/>
          <w:sz w:val="32"/>
          <w:szCs w:val="32"/>
          <w:lang w:bidi="ar"/>
        </w:rPr>
        <w:t>清算轧差完成后，上海清算所</w:t>
      </w:r>
      <w:r>
        <w:rPr>
          <w:rFonts w:ascii="仿宋" w:eastAsia="仿宋" w:hAnsi="仿宋" w:cs="仿宋" w:hint="eastAsia"/>
          <w:sz w:val="32"/>
          <w:szCs w:val="32"/>
          <w:lang w:bidi="ar"/>
        </w:rPr>
        <w:t>将所有未进行到期结算的回购交易与担保券进行一一匹配。资金结算开始时点，根据日终资金轧差结果完成资金结算。结算截止时点尚未补足应付资金的，进入违约判定，并按第九章相关规定处理。</w:t>
      </w:r>
    </w:p>
    <w:p w:rsidR="00AC321B" w:rsidRDefault="00AC4325">
      <w:pPr>
        <w:pStyle w:val="a9"/>
        <w:numPr>
          <w:ilvl w:val="0"/>
          <w:numId w:val="2"/>
        </w:numPr>
        <w:ind w:left="0" w:firstLine="624"/>
        <w:jc w:val="both"/>
        <w:rPr>
          <w:rFonts w:ascii="仿宋" w:eastAsia="仿宋" w:hAnsi="仿宋" w:cs="仿宋_GB2312"/>
          <w:kern w:val="0"/>
          <w:sz w:val="32"/>
          <w:szCs w:val="32"/>
        </w:rPr>
      </w:pPr>
      <w:r>
        <w:rPr>
          <w:rFonts w:ascii="仿宋" w:eastAsia="仿宋" w:hAnsi="仿宋" w:cs="仿宋_GB2312" w:hint="eastAsia"/>
          <w:kern w:val="0"/>
          <w:sz w:val="32"/>
          <w:szCs w:val="32"/>
          <w:lang w:bidi="ar"/>
        </w:rPr>
        <w:lastRenderedPageBreak/>
        <w:t>业务</w:t>
      </w:r>
      <w:r>
        <w:rPr>
          <w:rFonts w:ascii="仿宋" w:eastAsia="仿宋" w:hAnsi="仿宋" w:cs="仿宋" w:hint="eastAsia"/>
          <w:sz w:val="32"/>
          <w:szCs w:val="32"/>
          <w:lang w:bidi="ar"/>
        </w:rPr>
        <w:t>参与者</w:t>
      </w:r>
      <w:r>
        <w:rPr>
          <w:rFonts w:ascii="仿宋" w:eastAsia="仿宋" w:hAnsi="仿宋" w:cs="仿宋_GB2312" w:hint="eastAsia"/>
          <w:kern w:val="0"/>
          <w:sz w:val="32"/>
          <w:szCs w:val="32"/>
          <w:lang w:bidi="ar"/>
        </w:rPr>
        <w:t>应以上海清算所发送的业务通知单为依据，严格履行相应义务。业务参与者应及时做好业务通知单的核对工作。如有异议，业务参与者应在结算完成后及时向上海清算所书面提出。非清算会员应由代理其清算的综合清算会员在结算完成后及时向上海清算所书面提出，上海清算所视具体情况进行相应处理。</w:t>
      </w:r>
    </w:p>
    <w:p w:rsidR="00AC321B" w:rsidRDefault="00AC321B">
      <w:pPr>
        <w:spacing w:line="580" w:lineRule="exact"/>
        <w:jc w:val="center"/>
        <w:rPr>
          <w:rFonts w:ascii="仿宋" w:eastAsia="仿宋" w:hAnsi="仿宋" w:cs="仿宋_GB2312"/>
          <w:b/>
          <w:kern w:val="0"/>
          <w:sz w:val="32"/>
          <w:szCs w:val="32"/>
        </w:rPr>
      </w:pPr>
    </w:p>
    <w:p w:rsidR="00AC321B" w:rsidRDefault="00AC4325">
      <w:pPr>
        <w:spacing w:line="580" w:lineRule="exact"/>
        <w:jc w:val="center"/>
        <w:rPr>
          <w:rFonts w:ascii="黑体" w:eastAsia="黑体" w:hAnsi="宋体" w:cs="仿宋_GB2312"/>
          <w:kern w:val="0"/>
          <w:sz w:val="32"/>
          <w:szCs w:val="32"/>
        </w:rPr>
      </w:pPr>
      <w:r>
        <w:rPr>
          <w:rFonts w:ascii="黑体" w:eastAsia="黑体" w:hAnsi="宋体" w:cs="仿宋_GB2312" w:hint="eastAsia"/>
          <w:kern w:val="0"/>
          <w:sz w:val="32"/>
          <w:szCs w:val="32"/>
          <w:lang w:bidi="ar"/>
        </w:rPr>
        <w:t>第八章 风险准备资源</w:t>
      </w:r>
    </w:p>
    <w:p w:rsidR="00AC321B" w:rsidRDefault="00AC4325">
      <w:pPr>
        <w:pStyle w:val="a9"/>
        <w:numPr>
          <w:ilvl w:val="0"/>
          <w:numId w:val="2"/>
        </w:numPr>
        <w:ind w:left="0" w:firstLine="624"/>
        <w:jc w:val="both"/>
        <w:rPr>
          <w:rFonts w:ascii="仿宋" w:eastAsia="仿宋" w:hAnsi="仿宋" w:cs="仿宋_GB2312"/>
          <w:kern w:val="0"/>
          <w:sz w:val="32"/>
          <w:szCs w:val="32"/>
        </w:rPr>
      </w:pPr>
      <w:r>
        <w:rPr>
          <w:rFonts w:ascii="仿宋" w:eastAsia="仿宋" w:hAnsi="仿宋" w:cs="仿宋_GB2312" w:hint="eastAsia"/>
          <w:kern w:val="0"/>
          <w:sz w:val="32"/>
          <w:szCs w:val="32"/>
          <w:lang w:bidi="ar"/>
        </w:rPr>
        <w:t>通用回购业务保证金包括初始保证金、盯市保证金和特殊保证金。</w:t>
      </w:r>
    </w:p>
    <w:p w:rsidR="00AC321B" w:rsidRDefault="00AC4325">
      <w:pPr>
        <w:pStyle w:val="a9"/>
        <w:numPr>
          <w:ilvl w:val="0"/>
          <w:numId w:val="2"/>
        </w:numPr>
        <w:ind w:left="0" w:firstLine="624"/>
        <w:jc w:val="both"/>
        <w:rPr>
          <w:rFonts w:ascii="仿宋" w:eastAsia="仿宋" w:hAnsi="仿宋" w:cs="仿宋_GB2312"/>
          <w:kern w:val="0"/>
          <w:sz w:val="32"/>
          <w:szCs w:val="32"/>
        </w:rPr>
      </w:pPr>
      <w:r>
        <w:rPr>
          <w:rFonts w:ascii="仿宋" w:eastAsia="仿宋" w:hAnsi="仿宋" w:cs="仿宋_GB2312" w:hint="eastAsia"/>
          <w:kern w:val="0"/>
          <w:sz w:val="32"/>
          <w:szCs w:val="32"/>
          <w:lang w:bidi="ar"/>
        </w:rPr>
        <w:t>上海清算所对清算会员自营业务计算自营保证金要求，对综合清算会员的代理业务计算代理保证金要求。</w:t>
      </w:r>
    </w:p>
    <w:p w:rsidR="00AC321B" w:rsidRDefault="00AC4325">
      <w:pPr>
        <w:pStyle w:val="a9"/>
        <w:numPr>
          <w:ilvl w:val="0"/>
          <w:numId w:val="2"/>
        </w:numPr>
        <w:ind w:left="0" w:firstLine="624"/>
        <w:jc w:val="both"/>
        <w:rPr>
          <w:rFonts w:ascii="仿宋" w:eastAsia="仿宋" w:hAnsi="仿宋" w:cs="仿宋_GB2312"/>
          <w:kern w:val="0"/>
          <w:sz w:val="32"/>
          <w:szCs w:val="32"/>
        </w:rPr>
      </w:pPr>
      <w:r>
        <w:rPr>
          <w:rFonts w:ascii="仿宋" w:eastAsia="仿宋" w:hAnsi="仿宋" w:cs="仿宋_GB2312" w:hint="eastAsia"/>
          <w:kern w:val="0"/>
          <w:sz w:val="32"/>
          <w:szCs w:val="32"/>
          <w:lang w:bidi="ar"/>
        </w:rPr>
        <w:t>初始保证金根据业务参与者作为逆回购方的已融出额度、保证金率等计算，用于弥补清算会员违约情况下上海清算所进行违约处置时可能产生的损失。上海清算所有权视业务情形调整保证金率。</w:t>
      </w:r>
    </w:p>
    <w:p w:rsidR="00AC321B" w:rsidRDefault="00AC4325">
      <w:pPr>
        <w:pStyle w:val="a9"/>
        <w:numPr>
          <w:ilvl w:val="0"/>
          <w:numId w:val="2"/>
        </w:numPr>
        <w:ind w:left="0" w:firstLine="624"/>
        <w:jc w:val="both"/>
        <w:rPr>
          <w:rFonts w:ascii="仿宋" w:eastAsia="仿宋" w:hAnsi="仿宋" w:cs="仿宋_GB2312"/>
          <w:kern w:val="0"/>
          <w:sz w:val="32"/>
          <w:szCs w:val="32"/>
        </w:rPr>
      </w:pPr>
      <w:r>
        <w:rPr>
          <w:rFonts w:ascii="仿宋" w:eastAsia="仿宋" w:hAnsi="仿宋" w:cs="仿宋_GB2312" w:hint="eastAsia"/>
          <w:kern w:val="0"/>
          <w:sz w:val="32"/>
          <w:szCs w:val="32"/>
          <w:lang w:bidi="ar"/>
        </w:rPr>
        <w:t>盯市保证金用于弥补清算参与者担保券库总价值不足产生的盯市亏损。清算参与者未按照上海清算所的要求及时补库，或清算会员资信情况发生变化的，上海清算所有权进行盯市保证金追加。</w:t>
      </w:r>
    </w:p>
    <w:p w:rsidR="00AC321B" w:rsidRDefault="00AC4325">
      <w:pPr>
        <w:pStyle w:val="a9"/>
        <w:numPr>
          <w:ilvl w:val="0"/>
          <w:numId w:val="2"/>
        </w:numPr>
        <w:ind w:left="0" w:firstLine="624"/>
        <w:jc w:val="both"/>
        <w:rPr>
          <w:rFonts w:ascii="仿宋" w:eastAsia="仿宋" w:hAnsi="仿宋" w:cs="仿宋_GB2312"/>
          <w:kern w:val="0"/>
          <w:sz w:val="32"/>
          <w:szCs w:val="32"/>
        </w:rPr>
      </w:pPr>
      <w:r>
        <w:rPr>
          <w:rFonts w:ascii="仿宋" w:eastAsia="仿宋" w:hAnsi="仿宋" w:cs="仿宋_GB2312" w:hint="eastAsia"/>
          <w:kern w:val="0"/>
          <w:sz w:val="32"/>
          <w:szCs w:val="32"/>
          <w:lang w:bidi="ar"/>
        </w:rPr>
        <w:t>特殊保证金用于弥补市场价格异常波动、回购期限较长、资金融入或融出金额过大、连续假期等情况下清算会</w:t>
      </w:r>
      <w:r>
        <w:rPr>
          <w:rFonts w:ascii="仿宋" w:eastAsia="仿宋" w:hAnsi="仿宋" w:cs="仿宋_GB2312" w:hint="eastAsia"/>
          <w:kern w:val="0"/>
          <w:sz w:val="32"/>
          <w:szCs w:val="32"/>
          <w:lang w:bidi="ar"/>
        </w:rPr>
        <w:lastRenderedPageBreak/>
        <w:t>员违约对上海清算所可能造成的额外损失。</w:t>
      </w:r>
    </w:p>
    <w:p w:rsidR="00AC321B" w:rsidRDefault="00AC4325">
      <w:pPr>
        <w:pStyle w:val="a9"/>
        <w:numPr>
          <w:ilvl w:val="0"/>
          <w:numId w:val="2"/>
        </w:numPr>
        <w:ind w:left="0" w:firstLine="624"/>
        <w:jc w:val="both"/>
        <w:rPr>
          <w:rFonts w:ascii="仿宋" w:eastAsia="仿宋" w:hAnsi="仿宋" w:cs="仿宋_GB2312"/>
          <w:kern w:val="0"/>
          <w:sz w:val="32"/>
          <w:szCs w:val="32"/>
        </w:rPr>
      </w:pPr>
      <w:r>
        <w:rPr>
          <w:rFonts w:ascii="仿宋" w:eastAsia="仿宋" w:hAnsi="仿宋" w:cs="仿宋_GB2312" w:hint="eastAsia"/>
          <w:kern w:val="0"/>
          <w:sz w:val="32"/>
          <w:szCs w:val="32"/>
          <w:lang w:bidi="ar"/>
        </w:rPr>
        <w:t>清算基金用于弥补极端但可能的情形下清算会员违约损失中违约会员保证金覆盖不足的部分。上海清算所基于压力测试结果确定或调整清算基金金额。</w:t>
      </w:r>
    </w:p>
    <w:p w:rsidR="00AC321B" w:rsidRDefault="00AC321B">
      <w:pPr>
        <w:spacing w:line="580" w:lineRule="exact"/>
        <w:jc w:val="center"/>
        <w:rPr>
          <w:rFonts w:ascii="仿宋" w:eastAsia="仿宋" w:hAnsi="仿宋" w:cs="仿宋_GB2312"/>
          <w:b/>
          <w:kern w:val="0"/>
          <w:sz w:val="32"/>
          <w:szCs w:val="32"/>
        </w:rPr>
      </w:pPr>
    </w:p>
    <w:p w:rsidR="00AC321B" w:rsidRDefault="00AC4325">
      <w:pPr>
        <w:spacing w:line="580" w:lineRule="exact"/>
        <w:jc w:val="center"/>
        <w:rPr>
          <w:rFonts w:ascii="黑体" w:eastAsia="黑体" w:hAnsi="宋体" w:cs="仿宋_GB2312"/>
          <w:kern w:val="0"/>
          <w:sz w:val="32"/>
          <w:szCs w:val="32"/>
        </w:rPr>
      </w:pPr>
      <w:r>
        <w:rPr>
          <w:rFonts w:ascii="黑体" w:eastAsia="黑体" w:hAnsi="宋体" w:cs="仿宋_GB2312" w:hint="eastAsia"/>
          <w:kern w:val="0"/>
          <w:sz w:val="32"/>
          <w:szCs w:val="32"/>
          <w:lang w:bidi="ar"/>
        </w:rPr>
        <w:t>第九章 违约处置安排</w:t>
      </w:r>
    </w:p>
    <w:p w:rsidR="00AC321B" w:rsidRDefault="00AC4325">
      <w:pPr>
        <w:pStyle w:val="a9"/>
        <w:numPr>
          <w:ilvl w:val="0"/>
          <w:numId w:val="2"/>
        </w:numPr>
        <w:ind w:left="0" w:firstLine="624"/>
        <w:jc w:val="both"/>
        <w:rPr>
          <w:rFonts w:ascii="仿宋" w:eastAsia="仿宋" w:hAnsi="仿宋" w:cs="仿宋_GB2312"/>
          <w:kern w:val="0"/>
          <w:sz w:val="32"/>
          <w:szCs w:val="32"/>
        </w:rPr>
      </w:pPr>
      <w:r>
        <w:rPr>
          <w:rFonts w:ascii="仿宋" w:eastAsia="仿宋" w:hAnsi="仿宋" w:cs="仿宋_GB2312" w:hint="eastAsia"/>
          <w:kern w:val="0"/>
          <w:sz w:val="32"/>
          <w:szCs w:val="32"/>
          <w:lang w:bidi="ar"/>
        </w:rPr>
        <w:t>清算会员发生以下情形的，在通用回购业务中对上海清算所违约：</w:t>
      </w:r>
    </w:p>
    <w:p w:rsidR="00AC321B" w:rsidRDefault="00AC4325">
      <w:pPr>
        <w:spacing w:line="580" w:lineRule="exact"/>
        <w:ind w:firstLineChars="150" w:firstLine="480"/>
        <w:rPr>
          <w:rFonts w:ascii="仿宋" w:eastAsia="仿宋" w:hAnsi="仿宋" w:cs="仿宋_GB2312"/>
          <w:kern w:val="0"/>
          <w:sz w:val="32"/>
          <w:szCs w:val="32"/>
        </w:rPr>
      </w:pPr>
      <w:r>
        <w:rPr>
          <w:rFonts w:ascii="仿宋" w:eastAsia="仿宋" w:hAnsi="仿宋" w:cs="仿宋_GB2312" w:hint="eastAsia"/>
          <w:kern w:val="0"/>
          <w:sz w:val="32"/>
          <w:szCs w:val="32"/>
          <w:lang w:bidi="ar"/>
        </w:rPr>
        <w:t>（一）清算会员未按时、足额交付结算资产的，构成结算违约。</w:t>
      </w:r>
    </w:p>
    <w:p w:rsidR="00AC321B" w:rsidRDefault="00AC4325">
      <w:pPr>
        <w:spacing w:line="580" w:lineRule="exact"/>
        <w:ind w:firstLineChars="150" w:firstLine="480"/>
        <w:rPr>
          <w:rFonts w:ascii="仿宋" w:eastAsia="仿宋" w:hAnsi="仿宋" w:cs="仿宋_GB2312"/>
          <w:kern w:val="0"/>
          <w:sz w:val="32"/>
          <w:szCs w:val="32"/>
        </w:rPr>
      </w:pPr>
      <w:r>
        <w:rPr>
          <w:rFonts w:ascii="仿宋" w:eastAsia="仿宋" w:hAnsi="仿宋" w:cs="仿宋_GB2312" w:hint="eastAsia"/>
          <w:kern w:val="0"/>
          <w:sz w:val="32"/>
          <w:szCs w:val="32"/>
          <w:lang w:bidi="ar"/>
        </w:rPr>
        <w:t>（二）清算会员未按时、足额交纳保证金、清算基金的，构成风险准备资源追缴违约。</w:t>
      </w:r>
    </w:p>
    <w:p w:rsidR="00AC321B" w:rsidRDefault="00AC4325">
      <w:pPr>
        <w:spacing w:line="580" w:lineRule="exact"/>
        <w:ind w:firstLineChars="150" w:firstLine="480"/>
        <w:rPr>
          <w:rFonts w:ascii="仿宋" w:eastAsia="仿宋" w:hAnsi="仿宋" w:cs="仿宋_GB2312"/>
          <w:kern w:val="0"/>
          <w:sz w:val="32"/>
          <w:szCs w:val="32"/>
        </w:rPr>
      </w:pPr>
      <w:r>
        <w:rPr>
          <w:rFonts w:ascii="仿宋" w:eastAsia="仿宋" w:hAnsi="仿宋" w:cs="仿宋_GB2312" w:hint="eastAsia"/>
          <w:kern w:val="0"/>
          <w:sz w:val="32"/>
          <w:szCs w:val="32"/>
          <w:lang w:bidi="ar"/>
        </w:rPr>
        <w:t>（三）上海清算所认定的其他违约情形。</w:t>
      </w:r>
    </w:p>
    <w:p w:rsidR="00AC321B" w:rsidRDefault="00AC4325">
      <w:pPr>
        <w:pStyle w:val="a9"/>
        <w:numPr>
          <w:ilvl w:val="0"/>
          <w:numId w:val="2"/>
        </w:numPr>
        <w:ind w:left="0" w:firstLine="624"/>
        <w:jc w:val="both"/>
        <w:rPr>
          <w:rFonts w:ascii="仿宋" w:eastAsia="仿宋" w:hAnsi="仿宋" w:cs="仿宋_GB2312"/>
          <w:kern w:val="0"/>
          <w:sz w:val="32"/>
          <w:szCs w:val="32"/>
        </w:rPr>
      </w:pPr>
      <w:r>
        <w:rPr>
          <w:rFonts w:ascii="仿宋" w:eastAsia="仿宋" w:hAnsi="仿宋" w:cs="仿宋_GB2312" w:hint="eastAsia"/>
          <w:kern w:val="0"/>
          <w:sz w:val="32"/>
          <w:szCs w:val="32"/>
          <w:lang w:bidi="ar"/>
        </w:rPr>
        <w:t>清算会员发生违约的，上海清算所有权采取以下措施：</w:t>
      </w:r>
    </w:p>
    <w:p w:rsidR="00AC321B" w:rsidRDefault="00AC4325">
      <w:pPr>
        <w:spacing w:line="580" w:lineRule="exact"/>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lang w:bidi="ar"/>
        </w:rPr>
        <w:t>（一）限制、暂停或终止违约清算会员参与通用回购业务。</w:t>
      </w:r>
    </w:p>
    <w:p w:rsidR="00AC321B" w:rsidRDefault="00AC4325">
      <w:pPr>
        <w:spacing w:line="580" w:lineRule="exact"/>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lang w:bidi="ar"/>
        </w:rPr>
        <w:t>（二）冻结违约清算会员自营或代理业务涉及的担保券以及保证金、清算基金等。</w:t>
      </w:r>
    </w:p>
    <w:p w:rsidR="00AC321B" w:rsidRDefault="00AC4325">
      <w:pPr>
        <w:spacing w:line="580" w:lineRule="exact"/>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lang w:bidi="ar"/>
        </w:rPr>
        <w:t>（三）逐日计收违约金，不足一日的，按一日计算。</w:t>
      </w:r>
    </w:p>
    <w:p w:rsidR="00AC321B" w:rsidRDefault="00AC4325">
      <w:pPr>
        <w:spacing w:line="580" w:lineRule="exact"/>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lang w:bidi="ar"/>
        </w:rPr>
        <w:t>（四）启动银行授信等应急机制，完成对未违约方结算。上海清算所当日流动性融入不足的，按照受影响业务参与者最少的原则选择延迟交付方，并逐日进行补偿。</w:t>
      </w:r>
    </w:p>
    <w:p w:rsidR="00AC321B" w:rsidRDefault="00AC4325">
      <w:pPr>
        <w:autoSpaceDE w:val="0"/>
        <w:autoSpaceDN w:val="0"/>
        <w:adjustRightInd w:val="0"/>
        <w:spacing w:line="580" w:lineRule="exact"/>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lang w:bidi="ar"/>
        </w:rPr>
        <w:lastRenderedPageBreak/>
        <w:t>（五）违约清算会员于规定日期、规定时点前足额交纳违约资产、违约金的，上海清算所释放其相应冻结资产。同时，将相应资产偿还授信借出方或延迟交付方，并支付相关费用。未补足交纳的，上海清算所启动后续违约处置流程，包括但不限于处置违约清算会员的冻结资产及未结算头寸等。</w:t>
      </w:r>
    </w:p>
    <w:p w:rsidR="00AC321B" w:rsidRDefault="00AC4325">
      <w:pPr>
        <w:autoSpaceDE w:val="0"/>
        <w:autoSpaceDN w:val="0"/>
        <w:adjustRightInd w:val="0"/>
        <w:spacing w:line="580" w:lineRule="exact"/>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lang w:bidi="ar"/>
        </w:rPr>
        <w:t>（六）上海清算所认为必要的其他措施。</w:t>
      </w:r>
    </w:p>
    <w:p w:rsidR="00AC321B" w:rsidRDefault="00AC4325">
      <w:pPr>
        <w:pStyle w:val="a9"/>
        <w:numPr>
          <w:ilvl w:val="0"/>
          <w:numId w:val="2"/>
        </w:numPr>
        <w:ind w:left="0" w:firstLine="624"/>
        <w:jc w:val="both"/>
        <w:rPr>
          <w:rFonts w:ascii="仿宋" w:eastAsia="仿宋" w:hAnsi="仿宋" w:cs="仿宋_GB2312"/>
          <w:kern w:val="0"/>
          <w:sz w:val="32"/>
          <w:szCs w:val="32"/>
        </w:rPr>
      </w:pPr>
      <w:r>
        <w:rPr>
          <w:rFonts w:ascii="仿宋" w:eastAsia="仿宋" w:hAnsi="仿宋" w:cs="仿宋_GB2312" w:hint="eastAsia"/>
          <w:kern w:val="0"/>
          <w:sz w:val="32"/>
          <w:szCs w:val="32"/>
          <w:lang w:bidi="ar"/>
        </w:rPr>
        <w:t>非清算会员对综合清算会员构成违约的，综合清算会员应积极履行担保交收责任。综合清算会员需向上海清算所提交相关记录或说明，并可向上海清算所申请协助其执行违约处置。</w:t>
      </w:r>
    </w:p>
    <w:p w:rsidR="00AC321B" w:rsidRDefault="00AC4325">
      <w:pPr>
        <w:pStyle w:val="a9"/>
        <w:numPr>
          <w:ilvl w:val="0"/>
          <w:numId w:val="2"/>
        </w:numPr>
        <w:ind w:left="0" w:firstLine="624"/>
        <w:jc w:val="both"/>
        <w:rPr>
          <w:rFonts w:ascii="仿宋" w:eastAsia="仿宋" w:hAnsi="仿宋" w:cs="仿宋_GB2312"/>
          <w:kern w:val="0"/>
          <w:sz w:val="32"/>
          <w:szCs w:val="32"/>
        </w:rPr>
      </w:pPr>
      <w:r>
        <w:rPr>
          <w:rFonts w:ascii="仿宋" w:eastAsia="仿宋" w:hAnsi="仿宋" w:cs="仿宋_GB2312" w:hint="eastAsia"/>
          <w:kern w:val="0"/>
          <w:sz w:val="32"/>
          <w:szCs w:val="32"/>
          <w:lang w:bidi="ar"/>
        </w:rPr>
        <w:t>综合清算会员代理业务发生违约的，上海清算所允许其未违约且符合条件的非清算会员移仓。</w:t>
      </w:r>
    </w:p>
    <w:p w:rsidR="00AC321B" w:rsidRDefault="00AC4325">
      <w:pPr>
        <w:pStyle w:val="a9"/>
        <w:numPr>
          <w:ilvl w:val="0"/>
          <w:numId w:val="2"/>
        </w:numPr>
        <w:ind w:left="0" w:firstLine="624"/>
        <w:jc w:val="both"/>
        <w:rPr>
          <w:rFonts w:ascii="仿宋" w:eastAsia="仿宋" w:hAnsi="仿宋" w:cs="仿宋_GB2312"/>
          <w:kern w:val="0"/>
          <w:sz w:val="32"/>
          <w:szCs w:val="32"/>
        </w:rPr>
      </w:pPr>
      <w:r>
        <w:rPr>
          <w:rFonts w:ascii="仿宋" w:eastAsia="仿宋" w:hAnsi="仿宋" w:cs="仿宋_GB2312" w:hint="eastAsia"/>
          <w:kern w:val="0"/>
          <w:sz w:val="32"/>
          <w:szCs w:val="32"/>
          <w:lang w:bidi="ar"/>
        </w:rPr>
        <w:t>违约处置其他相关安排，参照上海清算所集中清算业务的相关规定执行。</w:t>
      </w:r>
    </w:p>
    <w:p w:rsidR="00AC321B" w:rsidRDefault="00AC321B">
      <w:pPr>
        <w:spacing w:line="580" w:lineRule="exact"/>
        <w:jc w:val="center"/>
        <w:rPr>
          <w:rFonts w:ascii="仿宋" w:eastAsia="仿宋" w:hAnsi="仿宋" w:cs="仿宋_GB2312"/>
          <w:b/>
          <w:kern w:val="0"/>
          <w:sz w:val="32"/>
          <w:szCs w:val="32"/>
        </w:rPr>
      </w:pPr>
    </w:p>
    <w:p w:rsidR="00AC321B" w:rsidRDefault="00AC4325">
      <w:pPr>
        <w:spacing w:line="580" w:lineRule="exact"/>
        <w:jc w:val="center"/>
        <w:rPr>
          <w:rFonts w:ascii="黑体" w:eastAsia="黑体" w:hAnsi="宋体" w:cs="仿宋_GB2312"/>
          <w:kern w:val="0"/>
          <w:sz w:val="32"/>
          <w:szCs w:val="32"/>
        </w:rPr>
      </w:pPr>
      <w:r>
        <w:rPr>
          <w:rFonts w:ascii="黑体" w:eastAsia="黑体" w:hAnsi="宋体" w:cs="仿宋_GB2312" w:hint="eastAsia"/>
          <w:kern w:val="0"/>
          <w:sz w:val="32"/>
          <w:szCs w:val="32"/>
          <w:lang w:bidi="ar"/>
        </w:rPr>
        <w:t>第十章 市场监测</w:t>
      </w:r>
    </w:p>
    <w:p w:rsidR="00AC321B" w:rsidRDefault="00AC4325">
      <w:pPr>
        <w:pStyle w:val="a9"/>
        <w:numPr>
          <w:ilvl w:val="0"/>
          <w:numId w:val="2"/>
        </w:numPr>
        <w:ind w:left="0" w:firstLine="624"/>
        <w:jc w:val="both"/>
        <w:rPr>
          <w:rFonts w:ascii="仿宋" w:eastAsia="仿宋" w:hAnsi="仿宋" w:cs="仿宋_GB2312"/>
          <w:kern w:val="0"/>
          <w:sz w:val="32"/>
          <w:szCs w:val="32"/>
        </w:rPr>
      </w:pPr>
      <w:r>
        <w:rPr>
          <w:rFonts w:ascii="仿宋" w:eastAsia="仿宋" w:hAnsi="仿宋" w:cs="仿宋_GB2312" w:hint="eastAsia"/>
          <w:kern w:val="0"/>
          <w:sz w:val="32"/>
          <w:szCs w:val="32"/>
          <w:lang w:bidi="ar"/>
        </w:rPr>
        <w:t>同业拆借中心和上海清算所对通用回购业务的交易、杠杆率、担保品等各类交易、结算信息开展日常监测，按中国人民银行的相关规定进行信息披露和数据报送等工作。</w:t>
      </w:r>
    </w:p>
    <w:p w:rsidR="00AC321B" w:rsidRDefault="00AC321B">
      <w:pPr>
        <w:spacing w:line="580" w:lineRule="exact"/>
        <w:rPr>
          <w:rFonts w:ascii="仿宋" w:eastAsia="仿宋" w:hAnsi="仿宋" w:cs="仿宋"/>
          <w:sz w:val="32"/>
          <w:szCs w:val="32"/>
        </w:rPr>
      </w:pPr>
    </w:p>
    <w:p w:rsidR="00AC321B" w:rsidRDefault="00AC4325">
      <w:pPr>
        <w:spacing w:line="580" w:lineRule="exact"/>
        <w:jc w:val="center"/>
        <w:rPr>
          <w:rFonts w:ascii="黑体" w:eastAsia="黑体" w:hAnsi="宋体" w:cs="仿宋_GB2312"/>
          <w:kern w:val="0"/>
          <w:sz w:val="32"/>
          <w:szCs w:val="32"/>
        </w:rPr>
      </w:pPr>
      <w:r>
        <w:rPr>
          <w:rFonts w:ascii="黑体" w:eastAsia="黑体" w:hAnsi="宋体" w:cs="仿宋_GB2312" w:hint="eastAsia"/>
          <w:kern w:val="0"/>
          <w:sz w:val="32"/>
          <w:szCs w:val="32"/>
          <w:lang w:bidi="ar"/>
        </w:rPr>
        <w:t>第十一章 附则</w:t>
      </w:r>
    </w:p>
    <w:p w:rsidR="00AC321B" w:rsidRDefault="00AC4325">
      <w:pPr>
        <w:pStyle w:val="a9"/>
        <w:numPr>
          <w:ilvl w:val="0"/>
          <w:numId w:val="2"/>
        </w:numPr>
        <w:ind w:left="0" w:firstLine="624"/>
        <w:jc w:val="both"/>
        <w:rPr>
          <w:rFonts w:ascii="仿宋" w:eastAsia="仿宋" w:hAnsi="仿宋" w:cs="仿宋_GB2312"/>
          <w:kern w:val="0"/>
          <w:sz w:val="32"/>
          <w:szCs w:val="32"/>
        </w:rPr>
      </w:pPr>
      <w:r>
        <w:rPr>
          <w:rFonts w:ascii="仿宋" w:eastAsia="仿宋" w:hAnsi="仿宋" w:cs="仿宋_GB2312" w:hint="eastAsia"/>
          <w:kern w:val="0"/>
          <w:sz w:val="32"/>
          <w:szCs w:val="32"/>
          <w:lang w:bidi="ar"/>
        </w:rPr>
        <w:t>同业拆借中心和上海清算所对通用回购业务实</w:t>
      </w:r>
      <w:r>
        <w:rPr>
          <w:rFonts w:ascii="仿宋" w:eastAsia="仿宋" w:hAnsi="仿宋" w:cs="仿宋_GB2312" w:hint="eastAsia"/>
          <w:kern w:val="0"/>
          <w:sz w:val="32"/>
          <w:szCs w:val="32"/>
          <w:lang w:bidi="ar"/>
        </w:rPr>
        <w:lastRenderedPageBreak/>
        <w:t>行有偿服务。具体收费规定另行公布。</w:t>
      </w:r>
    </w:p>
    <w:p w:rsidR="00AC321B" w:rsidRDefault="00AC4325">
      <w:pPr>
        <w:pStyle w:val="a9"/>
        <w:numPr>
          <w:ilvl w:val="0"/>
          <w:numId w:val="2"/>
        </w:numPr>
        <w:ind w:left="0" w:firstLine="624"/>
        <w:jc w:val="both"/>
        <w:rPr>
          <w:rFonts w:ascii="仿宋" w:eastAsia="仿宋" w:hAnsi="仿宋" w:cs="仿宋_GB2312"/>
          <w:kern w:val="0"/>
          <w:sz w:val="32"/>
          <w:szCs w:val="32"/>
        </w:rPr>
      </w:pPr>
      <w:r>
        <w:rPr>
          <w:rFonts w:ascii="仿宋" w:eastAsia="仿宋" w:hAnsi="仿宋" w:cs="仿宋_GB2312" w:hint="eastAsia"/>
          <w:kern w:val="0"/>
          <w:sz w:val="32"/>
          <w:szCs w:val="32"/>
          <w:lang w:bidi="ar"/>
        </w:rPr>
        <w:t>同业拆借中心和上海清算所有权根据业务开展情况对各类有关时间或时点要求、相关比率进行调整，公告后实施。</w:t>
      </w:r>
    </w:p>
    <w:p w:rsidR="00AC321B" w:rsidRDefault="00AC4325">
      <w:pPr>
        <w:pStyle w:val="a9"/>
        <w:numPr>
          <w:ilvl w:val="0"/>
          <w:numId w:val="2"/>
        </w:numPr>
        <w:ind w:left="0" w:firstLine="624"/>
        <w:jc w:val="both"/>
        <w:rPr>
          <w:rFonts w:ascii="仿宋" w:eastAsia="仿宋" w:hAnsi="仿宋" w:cs="仿宋_GB2312"/>
          <w:kern w:val="0"/>
          <w:sz w:val="32"/>
          <w:szCs w:val="32"/>
        </w:rPr>
      </w:pPr>
      <w:r>
        <w:rPr>
          <w:rFonts w:ascii="仿宋" w:eastAsia="仿宋" w:hAnsi="仿宋" w:cs="仿宋_GB2312" w:hint="eastAsia"/>
          <w:kern w:val="0"/>
          <w:sz w:val="32"/>
          <w:szCs w:val="32"/>
          <w:lang w:bidi="ar"/>
        </w:rPr>
        <w:t>本细则由同业拆借中心和上海清算所负责解释和修订。</w:t>
      </w:r>
    </w:p>
    <w:p w:rsidR="00AC321B" w:rsidRDefault="00AC4325">
      <w:pPr>
        <w:pStyle w:val="a9"/>
        <w:numPr>
          <w:ilvl w:val="0"/>
          <w:numId w:val="2"/>
        </w:numPr>
        <w:ind w:left="0" w:firstLine="624"/>
        <w:jc w:val="both"/>
        <w:rPr>
          <w:rFonts w:ascii="仿宋" w:eastAsia="仿宋" w:hAnsi="仿宋" w:cs="仿宋_GB2312"/>
          <w:kern w:val="0"/>
          <w:sz w:val="32"/>
          <w:szCs w:val="32"/>
        </w:rPr>
      </w:pPr>
      <w:r>
        <w:rPr>
          <w:rFonts w:ascii="仿宋" w:eastAsia="仿宋" w:hAnsi="仿宋" w:cs="仿宋_GB2312" w:hint="eastAsia"/>
          <w:kern w:val="0"/>
          <w:sz w:val="32"/>
          <w:szCs w:val="32"/>
          <w:lang w:bidi="ar"/>
        </w:rPr>
        <w:t>本细则自发布之日起施行。</w:t>
      </w:r>
    </w:p>
    <w:p w:rsidR="00AC321B" w:rsidRDefault="00AC321B">
      <w:pPr>
        <w:adjustRightInd w:val="0"/>
        <w:snapToGrid w:val="0"/>
        <w:spacing w:line="580" w:lineRule="exact"/>
        <w:ind w:firstLineChars="200" w:firstLine="640"/>
        <w:rPr>
          <w:rFonts w:ascii="仿宋" w:eastAsia="仿宋" w:hAnsi="仿宋" w:cs="仿宋"/>
          <w:sz w:val="32"/>
          <w:szCs w:val="32"/>
          <w:lang w:bidi="ar"/>
        </w:rPr>
      </w:pPr>
    </w:p>
    <w:sectPr w:rsidR="00AC321B">
      <w:headerReference w:type="even" r:id="rId8"/>
      <w:footerReference w:type="even" r:id="rId9"/>
      <w:footerReference w:type="default" r:id="rId10"/>
      <w:pgSz w:w="11906" w:h="16838"/>
      <w:pgMar w:top="2041" w:right="1474" w:bottom="1928" w:left="1587" w:header="851" w:footer="153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AAA" w:rsidRDefault="00AC4325">
      <w:r>
        <w:separator/>
      </w:r>
    </w:p>
  </w:endnote>
  <w:endnote w:type="continuationSeparator" w:id="0">
    <w:p w:rsidR="00056AAA" w:rsidRDefault="00AC4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21B" w:rsidRDefault="00AC4325">
    <w:pPr>
      <w:pStyle w:val="a7"/>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800735" cy="230505"/>
              <wp:effectExtent l="0" t="0" r="0" b="0"/>
              <wp:wrapNone/>
              <wp:docPr id="6" name="文本框 6"/>
              <wp:cNvGraphicFramePr/>
              <a:graphic xmlns:a="http://schemas.openxmlformats.org/drawingml/2006/main">
                <a:graphicData uri="http://schemas.microsoft.com/office/word/2010/wordprocessingShape">
                  <wps:wsp>
                    <wps:cNvSpPr txBox="1"/>
                    <wps:spPr>
                      <a:xfrm>
                        <a:off x="0" y="0"/>
                        <a:ext cx="800735" cy="230505"/>
                      </a:xfrm>
                      <a:prstGeom prst="rect">
                        <a:avLst/>
                      </a:prstGeom>
                      <a:noFill/>
                      <a:ln w="6350">
                        <a:noFill/>
                      </a:ln>
                    </wps:spPr>
                    <wps:txbx>
                      <w:txbxContent>
                        <w:p w:rsidR="00AC321B" w:rsidRDefault="00AC4325">
                          <w:pPr>
                            <w:pStyle w:val="a7"/>
                            <w:ind w:firstLineChars="100" w:firstLine="280"/>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C433E8">
                            <w:rPr>
                              <w:rFonts w:ascii="宋体" w:hAnsi="宋体" w:cs="宋体"/>
                              <w:noProof/>
                              <w:sz w:val="28"/>
                              <w:szCs w:val="28"/>
                            </w:rPr>
                            <w:t>8</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margin-left:11.85pt;margin-top:0;width:63.05pt;height:18.15pt;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" filled="f" stroked="f" strokeweight=".5pt">
              <v:textbox style="mso-fit-shape-to-text:t" inset="0,0,0,0">
                <w:txbxContent>
                  <w:p w:rsidR="00AC321B" w:rsidRDefault="00AC4325">
                    <w:pPr>
                      <w:pStyle w:val="a7"/>
                      <w:ind w:firstLineChars="100" w:firstLine="280"/>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C433E8">
                      <w:rPr>
                        <w:rFonts w:ascii="宋体" w:hAnsi="宋体" w:cs="宋体"/>
                        <w:noProof/>
                        <w:sz w:val="28"/>
                        <w:szCs w:val="28"/>
                      </w:rPr>
                      <w:t>8</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21B" w:rsidRDefault="00AC4325">
    <w:pPr>
      <w:pStyle w:val="a7"/>
    </w:pPr>
    <w:r>
      <w:rPr>
        <w:noProof/>
      </w:rPr>
      <mc:AlternateContent>
        <mc:Choice Requires="wps">
          <w:drawing>
            <wp:anchor distT="0" distB="0" distL="114300" distR="114300" simplePos="0" relativeHeight="251659264" behindDoc="0" locked="0" layoutInCell="1" allowOverlap="1">
              <wp:simplePos x="0" y="0"/>
              <wp:positionH relativeFrom="margin">
                <wp:posOffset>4819015</wp:posOffset>
              </wp:positionH>
              <wp:positionV relativeFrom="paragraph">
                <wp:posOffset>0</wp:posOffset>
              </wp:positionV>
              <wp:extent cx="711835" cy="230505"/>
              <wp:effectExtent l="0" t="0" r="0" b="0"/>
              <wp:wrapNone/>
              <wp:docPr id="5" name="文本框 5"/>
              <wp:cNvGraphicFramePr/>
              <a:graphic xmlns:a="http://schemas.openxmlformats.org/drawingml/2006/main">
                <a:graphicData uri="http://schemas.microsoft.com/office/word/2010/wordprocessingShape">
                  <wps:wsp>
                    <wps:cNvSpPr txBox="1"/>
                    <wps:spPr>
                      <a:xfrm>
                        <a:off x="0" y="0"/>
                        <a:ext cx="711835" cy="230505"/>
                      </a:xfrm>
                      <a:prstGeom prst="rect">
                        <a:avLst/>
                      </a:prstGeom>
                      <a:noFill/>
                      <a:ln w="6350">
                        <a:noFill/>
                      </a:ln>
                    </wps:spPr>
                    <wps:txbx>
                      <w:txbxContent>
                        <w:p w:rsidR="00AC321B" w:rsidRDefault="00AC4325">
                          <w:pPr>
                            <w:pStyle w:val="a7"/>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C433E8">
                            <w:rPr>
                              <w:rFonts w:ascii="宋体" w:hAnsi="宋体" w:cs="宋体"/>
                              <w:noProof/>
                              <w:sz w:val="28"/>
                              <w:szCs w:val="28"/>
                            </w:rPr>
                            <w:t>7</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7" type="#_x0000_t202" style="position:absolute;margin-left:379.45pt;margin-top:0;width:56.05pt;height:18.15pt;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" filled="f" stroked="f" strokeweight=".5pt">
              <v:textbox style="mso-fit-shape-to-text:t" inset="0,0,0,0">
                <w:txbxContent>
                  <w:p w:rsidR="00AC321B" w:rsidRDefault="00AC4325">
                    <w:pPr>
                      <w:pStyle w:val="a7"/>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C433E8">
                      <w:rPr>
                        <w:rFonts w:ascii="宋体" w:hAnsi="宋体" w:cs="宋体"/>
                        <w:noProof/>
                        <w:sz w:val="28"/>
                        <w:szCs w:val="28"/>
                      </w:rPr>
                      <w:t>7</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AAA" w:rsidRDefault="00AC4325">
      <w:r>
        <w:separator/>
      </w:r>
    </w:p>
  </w:footnote>
  <w:footnote w:type="continuationSeparator" w:id="0">
    <w:p w:rsidR="00056AAA" w:rsidRDefault="00AC43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21B" w:rsidRDefault="00AC321B">
    <w:pPr>
      <w:pStyle w:val="a8"/>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CDFF7BE"/>
    <w:multiLevelType w:val="multilevel"/>
    <w:tmpl w:val="DCDFF7BE"/>
    <w:lvl w:ilvl="0">
      <w:start w:val="1"/>
      <w:numFmt w:val="chineseCountingThousand"/>
      <w:suff w:val="space"/>
      <w:lvlText w:val="第%1条"/>
      <w:lvlJc w:val="left"/>
      <w:pPr>
        <w:ind w:left="2642" w:firstLine="476"/>
      </w:pPr>
    </w:lvl>
    <w:lvl w:ilvl="1">
      <w:start w:val="1"/>
      <w:numFmt w:val="lowerLetter"/>
      <w:lvlText w:val="%2)"/>
      <w:lvlJc w:val="left"/>
      <w:pPr>
        <w:ind w:left="3482" w:hanging="420"/>
      </w:pPr>
    </w:lvl>
    <w:lvl w:ilvl="2">
      <w:start w:val="1"/>
      <w:numFmt w:val="lowerRoman"/>
      <w:lvlText w:val="%3."/>
      <w:lvlJc w:val="right"/>
      <w:pPr>
        <w:ind w:left="3902" w:hanging="420"/>
      </w:pPr>
    </w:lvl>
    <w:lvl w:ilvl="3">
      <w:start w:val="1"/>
      <w:numFmt w:val="decimal"/>
      <w:lvlText w:val="%4."/>
      <w:lvlJc w:val="left"/>
      <w:pPr>
        <w:ind w:left="4322" w:hanging="420"/>
      </w:pPr>
    </w:lvl>
    <w:lvl w:ilvl="4">
      <w:start w:val="1"/>
      <w:numFmt w:val="lowerLetter"/>
      <w:lvlText w:val="%5)"/>
      <w:lvlJc w:val="left"/>
      <w:pPr>
        <w:ind w:left="4742" w:hanging="420"/>
      </w:pPr>
    </w:lvl>
    <w:lvl w:ilvl="5">
      <w:start w:val="1"/>
      <w:numFmt w:val="lowerRoman"/>
      <w:lvlText w:val="%6."/>
      <w:lvlJc w:val="right"/>
      <w:pPr>
        <w:ind w:left="5162" w:hanging="420"/>
      </w:pPr>
    </w:lvl>
    <w:lvl w:ilvl="6">
      <w:start w:val="1"/>
      <w:numFmt w:val="decimal"/>
      <w:lvlText w:val="%7."/>
      <w:lvlJc w:val="left"/>
      <w:pPr>
        <w:ind w:left="5582" w:hanging="420"/>
      </w:pPr>
    </w:lvl>
    <w:lvl w:ilvl="7">
      <w:start w:val="1"/>
      <w:numFmt w:val="lowerLetter"/>
      <w:lvlText w:val="%8)"/>
      <w:lvlJc w:val="left"/>
      <w:pPr>
        <w:ind w:left="6002" w:hanging="420"/>
      </w:pPr>
    </w:lvl>
    <w:lvl w:ilvl="8">
      <w:start w:val="1"/>
      <w:numFmt w:val="lowerRoman"/>
      <w:lvlText w:val="%9."/>
      <w:lvlJc w:val="right"/>
      <w:pPr>
        <w:ind w:left="6422" w:hanging="420"/>
      </w:pPr>
    </w:lvl>
  </w:abstractNum>
  <w:abstractNum w:abstractNumId="1" w15:restartNumberingAfterBreak="0">
    <w:nsid w:val="5E453F24"/>
    <w:multiLevelType w:val="multilevel"/>
    <w:tmpl w:val="5E453F24"/>
    <w:lvl w:ilvl="0">
      <w:start w:val="1"/>
      <w:numFmt w:val="decimal"/>
      <w:pStyle w:val="a"/>
      <w:lvlText w:val="%1."/>
      <w:lvlJc w:val="left"/>
      <w:pPr>
        <w:ind w:left="1000" w:hanging="360"/>
      </w:pPr>
      <w:rPr>
        <w:rFonts w:hint="default"/>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U2YjE0OGYyNjdlNzVhZjEyNTE5M2IzZDI1N2NlNWMifQ=="/>
  </w:docVars>
  <w:rsids>
    <w:rsidRoot w:val="00827501"/>
    <w:rsid w:val="B2FB3865"/>
    <w:rsid w:val="D5FFAD93"/>
    <w:rsid w:val="000017EC"/>
    <w:rsid w:val="00005970"/>
    <w:rsid w:val="000432A0"/>
    <w:rsid w:val="00055BAB"/>
    <w:rsid w:val="00056AAA"/>
    <w:rsid w:val="000619C1"/>
    <w:rsid w:val="00062DC9"/>
    <w:rsid w:val="00065B61"/>
    <w:rsid w:val="000A0DF4"/>
    <w:rsid w:val="000D2AB2"/>
    <w:rsid w:val="000E7487"/>
    <w:rsid w:val="000F2041"/>
    <w:rsid w:val="00120978"/>
    <w:rsid w:val="00145490"/>
    <w:rsid w:val="00153876"/>
    <w:rsid w:val="0016235B"/>
    <w:rsid w:val="00167EDB"/>
    <w:rsid w:val="001728CE"/>
    <w:rsid w:val="001A4D09"/>
    <w:rsid w:val="002048DF"/>
    <w:rsid w:val="00220105"/>
    <w:rsid w:val="002805D6"/>
    <w:rsid w:val="002C4A60"/>
    <w:rsid w:val="002D7D90"/>
    <w:rsid w:val="002E32BD"/>
    <w:rsid w:val="003149B0"/>
    <w:rsid w:val="00317F0F"/>
    <w:rsid w:val="00341E5C"/>
    <w:rsid w:val="00357F31"/>
    <w:rsid w:val="00362CA0"/>
    <w:rsid w:val="00385C71"/>
    <w:rsid w:val="003D3D5B"/>
    <w:rsid w:val="003D4102"/>
    <w:rsid w:val="003F5069"/>
    <w:rsid w:val="004259BA"/>
    <w:rsid w:val="0043516B"/>
    <w:rsid w:val="00441F36"/>
    <w:rsid w:val="00460024"/>
    <w:rsid w:val="004A4305"/>
    <w:rsid w:val="004A53A9"/>
    <w:rsid w:val="004B41D5"/>
    <w:rsid w:val="004C12E7"/>
    <w:rsid w:val="004C30EE"/>
    <w:rsid w:val="004F0141"/>
    <w:rsid w:val="00506405"/>
    <w:rsid w:val="00512CB9"/>
    <w:rsid w:val="005212E1"/>
    <w:rsid w:val="00534C88"/>
    <w:rsid w:val="00544DBA"/>
    <w:rsid w:val="00566233"/>
    <w:rsid w:val="005C5772"/>
    <w:rsid w:val="005E0944"/>
    <w:rsid w:val="005F05B3"/>
    <w:rsid w:val="005F3A55"/>
    <w:rsid w:val="00614FB1"/>
    <w:rsid w:val="0061731E"/>
    <w:rsid w:val="006175B2"/>
    <w:rsid w:val="0064415B"/>
    <w:rsid w:val="00661953"/>
    <w:rsid w:val="0067205D"/>
    <w:rsid w:val="006750C0"/>
    <w:rsid w:val="0069668F"/>
    <w:rsid w:val="006B1E7A"/>
    <w:rsid w:val="006C6E4C"/>
    <w:rsid w:val="00727F3B"/>
    <w:rsid w:val="00736CF6"/>
    <w:rsid w:val="00746B84"/>
    <w:rsid w:val="00757ECF"/>
    <w:rsid w:val="00763DE0"/>
    <w:rsid w:val="00796B38"/>
    <w:rsid w:val="007A208C"/>
    <w:rsid w:val="0082439E"/>
    <w:rsid w:val="0082746E"/>
    <w:rsid w:val="00827501"/>
    <w:rsid w:val="00860E39"/>
    <w:rsid w:val="008A1ABD"/>
    <w:rsid w:val="008C1FC8"/>
    <w:rsid w:val="008D2420"/>
    <w:rsid w:val="008D593A"/>
    <w:rsid w:val="008D6567"/>
    <w:rsid w:val="00924E3C"/>
    <w:rsid w:val="00942909"/>
    <w:rsid w:val="00971693"/>
    <w:rsid w:val="00971E17"/>
    <w:rsid w:val="00976AFA"/>
    <w:rsid w:val="00983985"/>
    <w:rsid w:val="009965CC"/>
    <w:rsid w:val="009B7BED"/>
    <w:rsid w:val="009C68E6"/>
    <w:rsid w:val="009D5C34"/>
    <w:rsid w:val="009E08D8"/>
    <w:rsid w:val="009E12FD"/>
    <w:rsid w:val="009F08D7"/>
    <w:rsid w:val="009F31D4"/>
    <w:rsid w:val="009F625B"/>
    <w:rsid w:val="00A0088D"/>
    <w:rsid w:val="00A06084"/>
    <w:rsid w:val="00A66A8F"/>
    <w:rsid w:val="00A81D6A"/>
    <w:rsid w:val="00A86D02"/>
    <w:rsid w:val="00A90243"/>
    <w:rsid w:val="00A9682F"/>
    <w:rsid w:val="00AC321B"/>
    <w:rsid w:val="00AC4325"/>
    <w:rsid w:val="00AC69E0"/>
    <w:rsid w:val="00B110B4"/>
    <w:rsid w:val="00B20E53"/>
    <w:rsid w:val="00B5604D"/>
    <w:rsid w:val="00B63A1B"/>
    <w:rsid w:val="00B65549"/>
    <w:rsid w:val="00B7279B"/>
    <w:rsid w:val="00B8567F"/>
    <w:rsid w:val="00B96041"/>
    <w:rsid w:val="00BB6892"/>
    <w:rsid w:val="00BD0A48"/>
    <w:rsid w:val="00C023EF"/>
    <w:rsid w:val="00C433E8"/>
    <w:rsid w:val="00C466FA"/>
    <w:rsid w:val="00C830D4"/>
    <w:rsid w:val="00D355B6"/>
    <w:rsid w:val="00D504BE"/>
    <w:rsid w:val="00D84151"/>
    <w:rsid w:val="00D95D4A"/>
    <w:rsid w:val="00DA6911"/>
    <w:rsid w:val="00DC1487"/>
    <w:rsid w:val="00DD56D6"/>
    <w:rsid w:val="00DD5B7D"/>
    <w:rsid w:val="00DE6D82"/>
    <w:rsid w:val="00E01DFC"/>
    <w:rsid w:val="00E27401"/>
    <w:rsid w:val="00E74219"/>
    <w:rsid w:val="00EB6F88"/>
    <w:rsid w:val="00EB7540"/>
    <w:rsid w:val="00ED72E2"/>
    <w:rsid w:val="00F1029F"/>
    <w:rsid w:val="00F87C8F"/>
    <w:rsid w:val="01394A30"/>
    <w:rsid w:val="075E3FD0"/>
    <w:rsid w:val="0998513F"/>
    <w:rsid w:val="0F774FB5"/>
    <w:rsid w:val="14F65263"/>
    <w:rsid w:val="15655021"/>
    <w:rsid w:val="190D20D9"/>
    <w:rsid w:val="1A34721A"/>
    <w:rsid w:val="1FBF788F"/>
    <w:rsid w:val="20FD356C"/>
    <w:rsid w:val="26CD39E1"/>
    <w:rsid w:val="2718718B"/>
    <w:rsid w:val="31CF18D8"/>
    <w:rsid w:val="3294567F"/>
    <w:rsid w:val="32FD1240"/>
    <w:rsid w:val="341502E5"/>
    <w:rsid w:val="35BE01DF"/>
    <w:rsid w:val="397F500E"/>
    <w:rsid w:val="3B8A40BE"/>
    <w:rsid w:val="3DBEA593"/>
    <w:rsid w:val="47046B53"/>
    <w:rsid w:val="48C215B8"/>
    <w:rsid w:val="48DB4341"/>
    <w:rsid w:val="4C296AC6"/>
    <w:rsid w:val="512D7D47"/>
    <w:rsid w:val="59722351"/>
    <w:rsid w:val="5D4532E2"/>
    <w:rsid w:val="5E4D6F46"/>
    <w:rsid w:val="6C0A7EB8"/>
    <w:rsid w:val="73D44DB8"/>
    <w:rsid w:val="7A9343F5"/>
    <w:rsid w:val="7CEA3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541514DD-1005-4605-ACE7-EC326E61D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endnote text"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Calibri" w:hAnsi="Calibr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Char"/>
    <w:qFormat/>
    <w:pPr>
      <w:jc w:val="left"/>
    </w:pPr>
  </w:style>
  <w:style w:type="paragraph" w:styleId="a5">
    <w:name w:val="endnote text"/>
    <w:basedOn w:val="a0"/>
    <w:link w:val="Char0"/>
    <w:qFormat/>
    <w:pPr>
      <w:snapToGrid w:val="0"/>
      <w:jc w:val="left"/>
    </w:pPr>
  </w:style>
  <w:style w:type="paragraph" w:styleId="a6">
    <w:name w:val="Balloon Text"/>
    <w:basedOn w:val="a0"/>
    <w:link w:val="Char1"/>
    <w:qFormat/>
    <w:rPr>
      <w:rFonts w:asciiTheme="minorHAnsi" w:eastAsiaTheme="minorEastAsia" w:hAnsiTheme="minorHAnsi" w:cstheme="minorBidi"/>
      <w:sz w:val="18"/>
      <w:szCs w:val="18"/>
    </w:rPr>
  </w:style>
  <w:style w:type="paragraph" w:styleId="a7">
    <w:name w:val="footer"/>
    <w:basedOn w:val="a0"/>
    <w:link w:val="Char2"/>
    <w:qFormat/>
    <w:pPr>
      <w:tabs>
        <w:tab w:val="center" w:pos="4153"/>
        <w:tab w:val="right" w:pos="8306"/>
      </w:tabs>
      <w:snapToGrid w:val="0"/>
      <w:jc w:val="left"/>
    </w:pPr>
    <w:rPr>
      <w:sz w:val="18"/>
      <w:szCs w:val="18"/>
    </w:rPr>
  </w:style>
  <w:style w:type="paragraph" w:styleId="a8">
    <w:name w:val="header"/>
    <w:basedOn w:val="a0"/>
    <w:link w:val="Char3"/>
    <w:qFormat/>
    <w:pPr>
      <w:pBdr>
        <w:bottom w:val="single" w:sz="6" w:space="1" w:color="auto"/>
      </w:pBdr>
      <w:tabs>
        <w:tab w:val="center" w:pos="4153"/>
        <w:tab w:val="right" w:pos="8306"/>
      </w:tabs>
      <w:snapToGrid w:val="0"/>
      <w:jc w:val="center"/>
    </w:pPr>
    <w:rPr>
      <w:sz w:val="18"/>
      <w:szCs w:val="18"/>
    </w:rPr>
  </w:style>
  <w:style w:type="paragraph" w:styleId="a9">
    <w:name w:val="Normal (Web)"/>
    <w:basedOn w:val="a0"/>
    <w:qFormat/>
    <w:pPr>
      <w:spacing w:line="580" w:lineRule="exact"/>
      <w:jc w:val="right"/>
    </w:pPr>
    <w:rPr>
      <w:rFonts w:asciiTheme="minorHAnsi" w:eastAsiaTheme="minorEastAsia" w:hAnsiTheme="minorHAnsi" w:cstheme="minorBidi"/>
      <w:sz w:val="24"/>
    </w:rPr>
  </w:style>
  <w:style w:type="paragraph" w:styleId="aa">
    <w:name w:val="annotation subject"/>
    <w:basedOn w:val="a4"/>
    <w:next w:val="a4"/>
    <w:link w:val="Char4"/>
    <w:qFormat/>
    <w:rPr>
      <w:b/>
      <w:bCs/>
    </w:rPr>
  </w:style>
  <w:style w:type="character" w:styleId="ab">
    <w:name w:val="endnote reference"/>
    <w:basedOn w:val="a1"/>
    <w:rPr>
      <w:vertAlign w:val="superscript"/>
    </w:rPr>
  </w:style>
  <w:style w:type="character" w:styleId="ac">
    <w:name w:val="annotation reference"/>
    <w:basedOn w:val="a1"/>
    <w:qFormat/>
    <w:rPr>
      <w:sz w:val="21"/>
      <w:szCs w:val="21"/>
    </w:rPr>
  </w:style>
  <w:style w:type="character" w:customStyle="1" w:styleId="Char2">
    <w:name w:val="页脚 Char"/>
    <w:basedOn w:val="a1"/>
    <w:link w:val="a7"/>
    <w:uiPriority w:val="99"/>
    <w:qFormat/>
    <w:rPr>
      <w:sz w:val="18"/>
      <w:szCs w:val="18"/>
    </w:rPr>
  </w:style>
  <w:style w:type="character" w:customStyle="1" w:styleId="Char3">
    <w:name w:val="页眉 Char"/>
    <w:basedOn w:val="a1"/>
    <w:link w:val="a8"/>
    <w:uiPriority w:val="99"/>
    <w:qFormat/>
    <w:rPr>
      <w:sz w:val="18"/>
      <w:szCs w:val="18"/>
    </w:rPr>
  </w:style>
  <w:style w:type="paragraph" w:styleId="a">
    <w:name w:val="List Paragraph"/>
    <w:basedOn w:val="a0"/>
    <w:uiPriority w:val="34"/>
    <w:qFormat/>
    <w:pPr>
      <w:numPr>
        <w:numId w:val="1"/>
      </w:numPr>
      <w:adjustRightInd w:val="0"/>
      <w:snapToGrid w:val="0"/>
      <w:spacing w:line="580" w:lineRule="exact"/>
    </w:pPr>
    <w:rPr>
      <w:rFonts w:asciiTheme="minorHAnsi" w:eastAsiaTheme="minorEastAsia" w:hAnsiTheme="minorHAnsi" w:cstheme="minorBidi"/>
    </w:rPr>
  </w:style>
  <w:style w:type="character" w:customStyle="1" w:styleId="Char1">
    <w:name w:val="批注框文本 Char"/>
    <w:basedOn w:val="a1"/>
    <w:link w:val="a6"/>
    <w:qFormat/>
    <w:rPr>
      <w:rFonts w:asciiTheme="minorHAnsi" w:eastAsiaTheme="minorEastAsia" w:hAnsiTheme="minorHAnsi" w:cstheme="minorBidi"/>
      <w:sz w:val="18"/>
      <w:szCs w:val="18"/>
    </w:rPr>
  </w:style>
  <w:style w:type="character" w:customStyle="1" w:styleId="Char">
    <w:name w:val="批注文字 Char"/>
    <w:basedOn w:val="a1"/>
    <w:link w:val="a4"/>
    <w:qFormat/>
    <w:rPr>
      <w:kern w:val="2"/>
      <w:sz w:val="21"/>
      <w:szCs w:val="22"/>
    </w:rPr>
  </w:style>
  <w:style w:type="character" w:customStyle="1" w:styleId="Char4">
    <w:name w:val="批注主题 Char"/>
    <w:basedOn w:val="Char"/>
    <w:link w:val="aa"/>
    <w:qFormat/>
    <w:rPr>
      <w:b/>
      <w:bCs/>
      <w:kern w:val="2"/>
      <w:sz w:val="21"/>
      <w:szCs w:val="22"/>
    </w:rPr>
  </w:style>
  <w:style w:type="paragraph" w:customStyle="1" w:styleId="1">
    <w:name w:val="修订1"/>
    <w:hidden/>
    <w:uiPriority w:val="99"/>
    <w:unhideWhenUsed/>
    <w:rPr>
      <w:rFonts w:ascii="Calibri" w:hAnsi="Calibri"/>
      <w:kern w:val="2"/>
      <w:sz w:val="21"/>
      <w:szCs w:val="22"/>
    </w:rPr>
  </w:style>
  <w:style w:type="character" w:customStyle="1" w:styleId="Char0">
    <w:name w:val="尾注文本 Char"/>
    <w:basedOn w:val="a1"/>
    <w:link w:val="a5"/>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617</Words>
  <Characters>3518</Characters>
  <Application>Microsoft Office Word</Application>
  <DocSecurity>0</DocSecurity>
  <Lines>29</Lines>
  <Paragraphs>8</Paragraphs>
  <ScaleCrop>false</ScaleCrop>
  <Company/>
  <LinksUpToDate>false</LinksUpToDate>
  <CharactersWithSpaces>4127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zhuomian</dc:creator>
  <cp:lastModifiedBy>张嵘</cp:lastModifiedBy>
  <cp:revision>2</cp:revision>
  <dcterms:created xsi:type="dcterms:W3CDTF">2024-04-08T02:17:00Z</dcterms:created>
  <dcterms:modified xsi:type="dcterms:W3CDTF">2024-04-08T02:17:00Z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111B65C366264D90B5FC6015655A4954_13</vt:lpwstr>
  </property>
</Properties>
</file>