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EED" w:rsidRDefault="00FB1EED">
      <w:pPr>
        <w:widowControl/>
        <w:spacing w:line="580" w:lineRule="exact"/>
        <w:jc w:val="left"/>
        <w:rPr>
          <w:rFonts w:ascii="黑体" w:eastAsia="黑体" w:hAnsi="宋体" w:cs="黑体"/>
          <w:sz w:val="32"/>
          <w:szCs w:val="32"/>
          <w:lang w:val="zh-CN" w:bidi="ar"/>
        </w:rPr>
      </w:pPr>
      <w:bookmarkStart w:id="0" w:name="Content"/>
    </w:p>
    <w:p w:rsidR="00FB1EED" w:rsidRDefault="00412CCB">
      <w:pPr>
        <w:spacing w:line="580" w:lineRule="exact"/>
        <w:jc w:val="center"/>
        <w:rPr>
          <w:rFonts w:ascii="宋体" w:hAnsi="宋体" w:cs="宋体"/>
          <w:b/>
          <w:sz w:val="44"/>
          <w:szCs w:val="44"/>
          <w:lang w:val="zh-CN"/>
        </w:rPr>
      </w:pPr>
      <w:r>
        <w:rPr>
          <w:rFonts w:ascii="宋体" w:hAnsi="宋体" w:cs="宋体" w:hint="eastAsia"/>
          <w:b/>
          <w:sz w:val="44"/>
          <w:szCs w:val="44"/>
          <w:lang w:val="zh-CN" w:bidi="ar"/>
        </w:rPr>
        <w:t>银行间市场清算所股份有限公司</w:t>
      </w:r>
    </w:p>
    <w:p w:rsidR="00FB1EED" w:rsidRDefault="00412CCB">
      <w:pPr>
        <w:spacing w:line="580" w:lineRule="exact"/>
        <w:jc w:val="center"/>
        <w:rPr>
          <w:rFonts w:ascii="宋体" w:hAnsi="宋体" w:cs="Arial Unicode MS"/>
          <w:b/>
          <w:kern w:val="0"/>
          <w:sz w:val="44"/>
          <w:szCs w:val="44"/>
          <w:lang w:bidi="ar"/>
        </w:rPr>
      </w:pPr>
      <w:r>
        <w:rPr>
          <w:rFonts w:ascii="宋体" w:hAnsi="宋体" w:cs="Arial Unicode MS" w:hint="eastAsia"/>
          <w:b/>
          <w:kern w:val="0"/>
          <w:sz w:val="44"/>
          <w:szCs w:val="44"/>
          <w:lang w:bidi="ar"/>
        </w:rPr>
        <w:t>柜台债券登记托管结算业务实施细则</w:t>
      </w:r>
    </w:p>
    <w:p w:rsidR="00FB1EED" w:rsidRDefault="00FB1EED">
      <w:pPr>
        <w:spacing w:line="580" w:lineRule="exact"/>
        <w:jc w:val="center"/>
        <w:rPr>
          <w:rFonts w:ascii="宋体" w:hAnsi="宋体" w:cs="Arial Unicode MS"/>
          <w:b/>
          <w:kern w:val="0"/>
          <w:sz w:val="44"/>
          <w:szCs w:val="44"/>
          <w:lang w:bidi="ar"/>
        </w:rPr>
      </w:pPr>
    </w:p>
    <w:p w:rsidR="00FB1EED" w:rsidRDefault="00412CCB">
      <w:pPr>
        <w:adjustRightInd w:val="0"/>
        <w:snapToGrid w:val="0"/>
        <w:spacing w:line="580" w:lineRule="exact"/>
        <w:jc w:val="center"/>
        <w:rPr>
          <w:rFonts w:ascii="黑体" w:eastAsia="黑体" w:hAnsi="宋体" w:cs="黑体"/>
          <w:sz w:val="32"/>
          <w:szCs w:val="32"/>
        </w:rPr>
      </w:pPr>
      <w:r>
        <w:rPr>
          <w:rFonts w:ascii="黑体" w:eastAsia="黑体" w:hAnsi="宋体" w:cs="黑体" w:hint="eastAsia"/>
          <w:sz w:val="32"/>
          <w:szCs w:val="32"/>
          <w:lang w:bidi="ar"/>
        </w:rPr>
        <w:t>第一章　总则</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第一条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为规范开展柜台债券登记托管结算业务，</w:t>
      </w:r>
      <w:r>
        <w:rPr>
          <w:rFonts w:ascii="仿宋" w:eastAsia="仿宋" w:hAnsi="仿宋" w:cs="仿宋" w:hint="eastAsia"/>
          <w:sz w:val="32"/>
          <w:szCs w:val="32"/>
          <w:lang w:bidi="ar"/>
        </w:rPr>
        <w:t>保障业务参与各方合法权益，促进银行间债券市场柜台业务高质量发展，银行间市场清算所股份有限公司（以下简称上海清算所）</w:t>
      </w:r>
      <w:r>
        <w:rPr>
          <w:rFonts w:ascii="仿宋" w:eastAsia="仿宋" w:hAnsi="仿宋" w:cs="Arial Unicode MS" w:hint="eastAsia"/>
          <w:kern w:val="0"/>
          <w:sz w:val="32"/>
          <w:szCs w:val="32"/>
          <w:lang w:bidi="ar"/>
        </w:rPr>
        <w:t>根据《全国银行间债券市场债券交易管理办法》（中国人民银行令〔</w:t>
      </w:r>
      <w:r>
        <w:rPr>
          <w:rFonts w:ascii="仿宋" w:eastAsia="仿宋" w:hAnsi="仿宋" w:cs="Arial Unicode MS" w:hint="eastAsia"/>
          <w:kern w:val="0"/>
          <w:sz w:val="32"/>
          <w:szCs w:val="32"/>
          <w:lang w:bidi="ar"/>
        </w:rPr>
        <w:t>2000</w:t>
      </w:r>
      <w:r>
        <w:rPr>
          <w:rFonts w:ascii="仿宋" w:eastAsia="仿宋" w:hAnsi="仿宋" w:cs="Arial Unicode MS" w:hint="eastAsia"/>
          <w:kern w:val="0"/>
          <w:sz w:val="32"/>
          <w:szCs w:val="32"/>
          <w:lang w:bidi="ar"/>
        </w:rPr>
        <w:t>〕第</w:t>
      </w:r>
      <w:r>
        <w:rPr>
          <w:rFonts w:ascii="仿宋" w:eastAsia="仿宋" w:hAnsi="仿宋" w:cs="Arial Unicode MS" w:hint="eastAsia"/>
          <w:kern w:val="0"/>
          <w:sz w:val="32"/>
          <w:szCs w:val="32"/>
          <w:lang w:bidi="ar"/>
        </w:rPr>
        <w:t>2</w:t>
      </w:r>
      <w:r>
        <w:rPr>
          <w:rFonts w:ascii="仿宋" w:eastAsia="仿宋" w:hAnsi="仿宋" w:cs="Arial Unicode MS" w:hint="eastAsia"/>
          <w:kern w:val="0"/>
          <w:sz w:val="32"/>
          <w:szCs w:val="32"/>
          <w:lang w:bidi="ar"/>
        </w:rPr>
        <w:t>号）、《银行间债券市场债券登记托管结算管理办法》（中国人民银行令〔</w:t>
      </w:r>
      <w:r>
        <w:rPr>
          <w:rFonts w:ascii="仿宋" w:eastAsia="仿宋" w:hAnsi="仿宋" w:cs="Arial Unicode MS" w:hint="eastAsia"/>
          <w:kern w:val="0"/>
          <w:sz w:val="32"/>
          <w:szCs w:val="32"/>
          <w:lang w:bidi="ar"/>
        </w:rPr>
        <w:t>2009</w:t>
      </w:r>
      <w:r>
        <w:rPr>
          <w:rFonts w:ascii="仿宋" w:eastAsia="仿宋" w:hAnsi="仿宋" w:cs="Arial Unicode MS" w:hint="eastAsia"/>
          <w:kern w:val="0"/>
          <w:sz w:val="32"/>
          <w:szCs w:val="32"/>
          <w:lang w:bidi="ar"/>
        </w:rPr>
        <w:t>〕第</w:t>
      </w:r>
      <w:r>
        <w:rPr>
          <w:rFonts w:ascii="仿宋" w:eastAsia="仿宋" w:hAnsi="仿宋" w:cs="Arial Unicode MS" w:hint="eastAsia"/>
          <w:kern w:val="0"/>
          <w:sz w:val="32"/>
          <w:szCs w:val="32"/>
          <w:lang w:bidi="ar"/>
        </w:rPr>
        <w:t>1</w:t>
      </w:r>
      <w:r>
        <w:rPr>
          <w:rFonts w:ascii="仿宋" w:eastAsia="仿宋" w:hAnsi="仿宋" w:cs="Arial Unicode MS" w:hint="eastAsia"/>
          <w:kern w:val="0"/>
          <w:sz w:val="32"/>
          <w:szCs w:val="32"/>
          <w:lang w:bidi="ar"/>
        </w:rPr>
        <w:t>号）、《全国银行间债券市场柜台业务管理办法》（中国人民银行公告〔</w:t>
      </w:r>
      <w:r>
        <w:rPr>
          <w:rFonts w:ascii="仿宋" w:eastAsia="仿宋" w:hAnsi="仿宋" w:cs="Arial Unicode MS" w:hint="eastAsia"/>
          <w:kern w:val="0"/>
          <w:sz w:val="32"/>
          <w:szCs w:val="32"/>
          <w:lang w:bidi="ar"/>
        </w:rPr>
        <w:t>2016</w:t>
      </w:r>
      <w:r>
        <w:rPr>
          <w:rFonts w:ascii="仿宋" w:eastAsia="仿宋" w:hAnsi="仿宋" w:cs="Arial Unicode MS" w:hint="eastAsia"/>
          <w:kern w:val="0"/>
          <w:sz w:val="32"/>
          <w:szCs w:val="32"/>
          <w:lang w:bidi="ar"/>
        </w:rPr>
        <w:t>〕第</w:t>
      </w:r>
      <w:r>
        <w:rPr>
          <w:rFonts w:ascii="仿宋" w:eastAsia="仿宋" w:hAnsi="仿宋" w:cs="Arial Unicode MS" w:hint="eastAsia"/>
          <w:kern w:val="0"/>
          <w:sz w:val="32"/>
          <w:szCs w:val="32"/>
          <w:lang w:bidi="ar"/>
        </w:rPr>
        <w:t>2</w:t>
      </w:r>
      <w:r>
        <w:rPr>
          <w:rFonts w:ascii="仿宋" w:eastAsia="仿宋" w:hAnsi="仿宋" w:cs="Arial Unicode MS" w:hint="eastAsia"/>
          <w:kern w:val="0"/>
          <w:sz w:val="32"/>
          <w:szCs w:val="32"/>
          <w:lang w:bidi="ar"/>
        </w:rPr>
        <w:t>号）、《中国人民银行关于银行间债券市场柜台业务有关事项的通知》（银发〔</w:t>
      </w:r>
      <w:r>
        <w:rPr>
          <w:rFonts w:ascii="仿宋" w:eastAsia="仿宋" w:hAnsi="仿宋" w:cs="Arial Unicode MS" w:hint="eastAsia"/>
          <w:kern w:val="0"/>
          <w:sz w:val="32"/>
          <w:szCs w:val="32"/>
          <w:lang w:bidi="ar"/>
        </w:rPr>
        <w:t>2024</w:t>
      </w:r>
      <w:r>
        <w:rPr>
          <w:rFonts w:ascii="仿宋" w:eastAsia="仿宋" w:hAnsi="仿宋" w:cs="Arial Unicode MS" w:hint="eastAsia"/>
          <w:kern w:val="0"/>
          <w:sz w:val="32"/>
          <w:szCs w:val="32"/>
          <w:lang w:bidi="ar"/>
        </w:rPr>
        <w:t>〕</w:t>
      </w:r>
      <w:r>
        <w:rPr>
          <w:rFonts w:ascii="仿宋" w:eastAsia="仿宋" w:hAnsi="仿宋" w:cs="Arial Unicode MS" w:hint="eastAsia"/>
          <w:kern w:val="0"/>
          <w:sz w:val="32"/>
          <w:szCs w:val="32"/>
          <w:lang w:bidi="ar"/>
        </w:rPr>
        <w:t>45</w:t>
      </w:r>
      <w:r>
        <w:rPr>
          <w:rFonts w:ascii="仿宋" w:eastAsia="仿宋" w:hAnsi="仿宋" w:cs="Arial Unicode MS" w:hint="eastAsia"/>
          <w:kern w:val="0"/>
          <w:sz w:val="32"/>
          <w:szCs w:val="32"/>
          <w:lang w:bidi="ar"/>
        </w:rPr>
        <w:t>号）、《银行间市场清算所股份有限公司债券登记托管、清算结算业务规则》（清算所公告〔</w:t>
      </w:r>
      <w:r>
        <w:rPr>
          <w:rFonts w:ascii="仿宋" w:eastAsia="仿宋" w:hAnsi="仿宋" w:cs="Arial Unicode MS" w:hint="eastAsia"/>
          <w:kern w:val="0"/>
          <w:sz w:val="32"/>
          <w:szCs w:val="32"/>
          <w:lang w:bidi="ar"/>
        </w:rPr>
        <w:t>2014</w:t>
      </w:r>
      <w:r>
        <w:rPr>
          <w:rFonts w:ascii="仿宋" w:eastAsia="仿宋" w:hAnsi="仿宋" w:cs="Arial Unicode MS" w:hint="eastAsia"/>
          <w:kern w:val="0"/>
          <w:sz w:val="32"/>
          <w:szCs w:val="32"/>
          <w:lang w:bidi="ar"/>
        </w:rPr>
        <w:t>〕</w:t>
      </w:r>
      <w:r>
        <w:rPr>
          <w:rFonts w:ascii="仿宋" w:eastAsia="仿宋" w:hAnsi="仿宋" w:cs="Arial Unicode MS" w:hint="eastAsia"/>
          <w:kern w:val="0"/>
          <w:sz w:val="32"/>
          <w:szCs w:val="32"/>
          <w:lang w:bidi="ar"/>
        </w:rPr>
        <w:t>13</w:t>
      </w:r>
      <w:r>
        <w:rPr>
          <w:rFonts w:ascii="仿宋" w:eastAsia="仿宋" w:hAnsi="仿宋" w:cs="Arial Unicode MS" w:hint="eastAsia"/>
          <w:kern w:val="0"/>
          <w:sz w:val="32"/>
          <w:szCs w:val="32"/>
          <w:lang w:bidi="ar"/>
        </w:rPr>
        <w:t>号）等相关规定，制定本业务实施细则。</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第二条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开办上海清算所托管债券柜台业务（以下简称柜台业务）的金</w:t>
      </w:r>
      <w:r>
        <w:rPr>
          <w:rFonts w:ascii="仿宋" w:eastAsia="仿宋" w:hAnsi="仿宋" w:cs="Arial Unicode MS" w:hint="eastAsia"/>
          <w:kern w:val="0"/>
          <w:sz w:val="32"/>
          <w:szCs w:val="32"/>
          <w:lang w:bidi="ar"/>
        </w:rPr>
        <w:t>融机构（以下简称开办机构）应当在上海清算所开立柜台业务代理总账户，记载由其托管、属于柜台业务投资者的债券总额。上海清算所对所托管柜台债券承担中央登记、一级托管及结算职能。</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第三条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柜台债券投资者在开办机构开立的债券账户是代理</w:t>
      </w:r>
      <w:r>
        <w:rPr>
          <w:rFonts w:ascii="仿宋" w:eastAsia="仿宋" w:hAnsi="仿宋" w:cs="Arial Unicode MS" w:hint="eastAsia"/>
          <w:kern w:val="0"/>
          <w:sz w:val="32"/>
          <w:szCs w:val="32"/>
          <w:lang w:bidi="ar"/>
        </w:rPr>
        <w:lastRenderedPageBreak/>
        <w:t>总账户的明细账户，用于记载投资者持有债券的品种、数量及相关权利，开办机构负责投资者债券账户的账户信息、持有信息的真实、准确、完整。上海清算所为投资者提供柜台债券账务复核查询服务，方便投资者查询债券账户余额。</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仿宋" w:hint="eastAsia"/>
          <w:sz w:val="32"/>
          <w:szCs w:val="32"/>
          <w:lang w:bidi="ar"/>
        </w:rPr>
        <w:t>第四条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柜台业务债券品种包括已在银行间债券市场交易流通的各类债券品种和发行对象包</w:t>
      </w:r>
      <w:r>
        <w:rPr>
          <w:rFonts w:ascii="仿宋" w:eastAsia="仿宋" w:hAnsi="仿宋" w:cs="仿宋" w:hint="eastAsia"/>
          <w:sz w:val="32"/>
          <w:szCs w:val="32"/>
          <w:lang w:bidi="ar"/>
        </w:rPr>
        <w:t>括柜台业务投资者的新发行债券。柜台业务交易品种包括现券买卖、质押式回购、买断式回购以及经中国人民银行认可的其他交易品种。开办机构与境内个人、企业、金融机构和境外投资者等各类投资者开展柜台业务，应当遵循全国银行间债券市场和开办机构监管部门的相关规定。</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第五条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柜台业务数据信息采用集中化数据报送方式。开办机构按照全国银行间同业拆借中心（以下简称同业拆借中心）的接口规范要求，及时向同业拆借中心报送柜台业务一级结算过户指令和柜台业务明细数据信息；同业拆借中心按照与上海清算所约定的数据传输规范，将相关信息传输</w:t>
      </w:r>
      <w:r>
        <w:rPr>
          <w:rFonts w:ascii="仿宋" w:eastAsia="仿宋" w:hAnsi="仿宋" w:cs="Arial Unicode MS" w:hint="eastAsia"/>
          <w:kern w:val="0"/>
          <w:sz w:val="32"/>
          <w:szCs w:val="32"/>
          <w:lang w:bidi="ar"/>
        </w:rPr>
        <w:t>至上海清算所，上海清算所进行一级结算过户等后续处理。上海清算所、同业拆借中心、开办机构按照职责分工，分别开发建立、运行管理各自的柜台债券业务系统，保障业务安全平稳运行。</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对于已开办柜台业务的开办机构，其数据报送方式切换至集中化数据报送方式前，仍需按照《柜台债券业务上海清算所与承办银行数据交互业务文件》等上海清算所接口规范和相关业务控制要求，开展与上海清算所之间的柜台业务数据直接交互处理。</w:t>
      </w:r>
    </w:p>
    <w:p w:rsidR="00FB1EED" w:rsidRDefault="00412CCB">
      <w:pPr>
        <w:adjustRightInd w:val="0"/>
        <w:snapToGrid w:val="0"/>
        <w:spacing w:line="580" w:lineRule="exact"/>
        <w:jc w:val="center"/>
        <w:rPr>
          <w:rFonts w:ascii="黑体" w:eastAsia="黑体" w:hAnsi="宋体" w:cs="黑体"/>
          <w:sz w:val="32"/>
          <w:szCs w:val="32"/>
        </w:rPr>
      </w:pPr>
      <w:r>
        <w:rPr>
          <w:rFonts w:ascii="黑体" w:eastAsia="黑体" w:hAnsi="宋体" w:cs="黑体" w:hint="eastAsia"/>
          <w:sz w:val="32"/>
          <w:szCs w:val="32"/>
          <w:lang w:bidi="ar"/>
        </w:rPr>
        <w:lastRenderedPageBreak/>
        <w:t>第二章　账户和投资者管理</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第六条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开办机构在开展柜台业务前，应向上海清算所申请开立代理总账户，并指定代理总账户对应的资金</w:t>
      </w:r>
      <w:r>
        <w:rPr>
          <w:rFonts w:ascii="仿宋" w:eastAsia="仿宋" w:hAnsi="仿宋" w:cs="Arial Unicode MS" w:hint="eastAsia"/>
          <w:kern w:val="0"/>
          <w:sz w:val="32"/>
          <w:szCs w:val="32"/>
          <w:lang w:bidi="ar"/>
        </w:rPr>
        <w:t>往来账户，用于收取代理总账户下债券付息兑付资金等相关用途。开办机构应当严格区分自有债券和投资者托管的债券，不得挪用投资者的债券。</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第七条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开办机构应根据投资者申请，为投资者开立债券账户。开办机构应要求投资者提交真实、准确、完整的开户材料。</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已在上海清算所开立银行间债券市场债券账户的投资者，可在开办机构开立投资者债券账户，无需经中国人民银行同意。</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第八条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w:t>
      </w:r>
      <w:r>
        <w:rPr>
          <w:rFonts w:ascii="仿宋" w:eastAsia="仿宋" w:hAnsi="仿宋" w:cs="仿宋" w:hint="eastAsia"/>
          <w:sz w:val="32"/>
          <w:szCs w:val="32"/>
          <w:lang w:bidi="ar"/>
        </w:rPr>
        <w:t>应当按照中国人民银行相关规定，建立投资者适当性管理制度，根据投资者的风险识别及承受能力，向投资者提供与其风险承受能力相匹配的债券品种和交易品种，并进行持续跟踪和管理。开办机构应当明确与投资者之间的风险权责关系，有效保障投资者合法权益。</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第九条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投资者债券账户由开办机构负责管理，在办理债券发售、交易、质押、冻结、非交易过户、转托管、付息兑付等业务或发生其他账务变动时，开办机构应及时在投资者债券账户中进行相应记载。</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第十条</w:t>
      </w:r>
      <w:r>
        <w:rPr>
          <w:rFonts w:ascii="仿宋" w:eastAsia="仿宋" w:hAnsi="仿宋" w:cs="Arial Unicode MS"/>
          <w:kern w:val="0"/>
          <w:sz w:val="32"/>
          <w:szCs w:val="32"/>
          <w:lang w:bidi="ar"/>
        </w:rPr>
        <w:t xml:space="preserve"> </w:t>
      </w:r>
      <w:r>
        <w:rPr>
          <w:rFonts w:ascii="仿宋" w:eastAsia="仿宋" w:hAnsi="仿宋" w:cs="Arial Unicode MS" w:hint="eastAsia"/>
          <w:kern w:val="0"/>
          <w:sz w:val="32"/>
          <w:szCs w:val="32"/>
          <w:lang w:bidi="ar"/>
        </w:rPr>
        <w:t>开办机构应于工作日同业拆借中心接口规范要求时点前，将本机构所有投资者当日发生开户、变更或</w:t>
      </w:r>
      <w:r>
        <w:rPr>
          <w:rFonts w:ascii="仿宋" w:eastAsia="仿宋" w:hAnsi="仿宋" w:cs="Arial Unicode MS" w:hint="eastAsia"/>
          <w:kern w:val="0"/>
          <w:sz w:val="32"/>
          <w:szCs w:val="32"/>
          <w:lang w:bidi="ar"/>
        </w:rPr>
        <w:t>注销等变动后的债券账户最终信息报送至同业拆借中心。同业拆借中心按照与上海清算所约定的数据传输规范和时点要求，将相关信息传输至</w:t>
      </w:r>
      <w:r>
        <w:rPr>
          <w:rFonts w:ascii="仿宋" w:eastAsia="仿宋" w:hAnsi="仿宋" w:cs="Arial Unicode MS" w:hint="eastAsia"/>
          <w:kern w:val="0"/>
          <w:sz w:val="32"/>
          <w:szCs w:val="32"/>
          <w:lang w:bidi="ar"/>
        </w:rPr>
        <w:lastRenderedPageBreak/>
        <w:t>上海清算所。上海清算所根据接口规范对账户信息进行检查，对检查通过的账户信息，上海清算所更新系统相应投资者的账户信息记录；对检查不通过的，上海清算所反馈同业拆借中心进行及时更正，如因开办机构原始发送数据有误导致，开办机构应配合同业拆借中心进行及时更正处理。开办机构在工作日营业结束后或非工作日受理投资者账户开户、变更和注销的，应于次一个工作日统一报送相关数据。</w:t>
      </w:r>
    </w:p>
    <w:p w:rsidR="00FB1EED" w:rsidRDefault="00412CCB">
      <w:pPr>
        <w:adjustRightInd w:val="0"/>
        <w:snapToGrid w:val="0"/>
        <w:spacing w:line="580" w:lineRule="exact"/>
        <w:jc w:val="center"/>
        <w:rPr>
          <w:rFonts w:ascii="黑体" w:eastAsia="黑体" w:hAnsi="宋体" w:cs="黑体"/>
          <w:sz w:val="32"/>
          <w:szCs w:val="32"/>
        </w:rPr>
      </w:pPr>
      <w:r>
        <w:rPr>
          <w:rFonts w:ascii="黑体" w:eastAsia="黑体" w:hAnsi="宋体" w:cs="黑体" w:hint="eastAsia"/>
          <w:sz w:val="32"/>
          <w:szCs w:val="32"/>
          <w:lang w:bidi="ar"/>
        </w:rPr>
        <w:t>第三章</w:t>
      </w:r>
      <w:r>
        <w:rPr>
          <w:rFonts w:ascii="黑体" w:eastAsia="黑体" w:hAnsi="宋体" w:cs="黑体" w:hint="eastAsia"/>
          <w:sz w:val="32"/>
          <w:szCs w:val="32"/>
          <w:lang w:bidi="ar"/>
        </w:rPr>
        <w:t xml:space="preserve"> </w:t>
      </w:r>
      <w:r>
        <w:rPr>
          <w:rFonts w:ascii="黑体" w:eastAsia="黑体" w:hAnsi="宋体" w:cs="黑体" w:hint="eastAsia"/>
          <w:sz w:val="32"/>
          <w:szCs w:val="32"/>
          <w:lang w:bidi="ar"/>
        </w:rPr>
        <w:t>发行认购</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第十一条</w:t>
      </w:r>
      <w:r>
        <w:rPr>
          <w:rFonts w:ascii="仿宋" w:eastAsia="仿宋" w:hAnsi="仿宋" w:cs="Arial Unicode MS" w:hint="eastAsia"/>
          <w:kern w:val="0"/>
          <w:sz w:val="32"/>
          <w:szCs w:val="32"/>
          <w:lang w:bidi="ar"/>
        </w:rPr>
        <w:t xml:space="preserve"> </w:t>
      </w:r>
      <w:r>
        <w:rPr>
          <w:rFonts w:ascii="仿宋" w:eastAsia="仿宋" w:hAnsi="仿宋" w:cs="仿宋" w:hint="eastAsia"/>
          <w:sz w:val="32"/>
          <w:szCs w:val="32"/>
          <w:lang w:bidi="ar"/>
        </w:rPr>
        <w:t>发行对象包括柜台业务投资者的</w:t>
      </w:r>
      <w:r>
        <w:rPr>
          <w:rFonts w:ascii="仿宋" w:eastAsia="仿宋" w:hAnsi="仿宋" w:cs="Arial Unicode MS" w:hint="eastAsia"/>
          <w:kern w:val="0"/>
          <w:sz w:val="32"/>
          <w:szCs w:val="32"/>
          <w:lang w:bidi="ar"/>
        </w:rPr>
        <w:t>债券在正式发售前，上海清算所依据发行人或其授权机构提交的发行登记材料，进行债券要素注册并在开办机构的自营账户中记载其承销的债券额度。</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第十二条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债券在柜台发售期间，开办机构应在其自营账户额度内销售，并在每个工作日于同业拆借中心接口规范要求时点前将本机构当日柜台发售相关的一级结算过户指令传送同业拆借中心。根据开办机构业务开展需要，相关一级结算过户指令可以是当日投资者柜台认购、撤单逐笔交易对应的实时一级结算过户指令，也可以是某个时段或当日认购、撤单交易汇总轧差后的一级结算过户指令。同</w:t>
      </w:r>
      <w:r>
        <w:rPr>
          <w:rFonts w:ascii="仿宋" w:eastAsia="仿宋" w:hAnsi="仿宋" w:cs="Arial Unicode MS" w:hint="eastAsia"/>
          <w:kern w:val="0"/>
          <w:sz w:val="32"/>
          <w:szCs w:val="32"/>
          <w:lang w:bidi="ar"/>
        </w:rPr>
        <w:t>业拆借中心按照与上海清算所约定的数据传输规范，将相关指令同步传输至上海清算所。上海清算所根据接口规范对过户指令进行检查，对检查通过的指令，上海清算所实时进行自营账户与代理总账户之间的一级结算过户处理；对检</w:t>
      </w:r>
      <w:r>
        <w:rPr>
          <w:rFonts w:ascii="仿宋" w:eastAsia="仿宋" w:hAnsi="仿宋" w:cs="Arial Unicode MS" w:hint="eastAsia"/>
          <w:kern w:val="0"/>
          <w:sz w:val="32"/>
          <w:szCs w:val="32"/>
          <w:lang w:bidi="ar"/>
        </w:rPr>
        <w:lastRenderedPageBreak/>
        <w:t>查不通过的，上海清算所反馈同业拆借中心当日进行及时更正，如因开办机构原始发送数据有误导致，开办机构应配合同业拆借中心在当日进行及时更正处理。</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第十三条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开办机构应于工作日同业拆借中心接口规范要求时点前，将本机构所有投资者当日结算成功的认购和撤单交易结算明细信息、所有投资者债券账户余额信息报送至同业拆借中心。</w:t>
      </w:r>
      <w:r>
        <w:rPr>
          <w:rFonts w:ascii="仿宋" w:eastAsia="仿宋" w:hAnsi="仿宋" w:cs="Arial Unicode MS" w:hint="eastAsia"/>
          <w:kern w:val="0"/>
          <w:sz w:val="32"/>
          <w:szCs w:val="32"/>
          <w:lang w:bidi="ar"/>
        </w:rPr>
        <w:t>开办机构应确保报送数据无遗漏，报送的投资者债券账户余额总额与代理总账户余额相等。同业拆借中心按照与上海清算所约定的数据传输规范和时点要求，将相关信息传输至上海清算所。上海清算所根据接口规范对上述信息进行检查，对检查通过的信息，上海清算所系统存储或更新相关信息；对检查不通过的，上海清算所反馈同业拆借中心进行及时更正，如因开办机构原始发送数据有误导致，开办机构应配合同业拆借中心进行及时更正处理。</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第十四条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开办机构在工作日营业结束后或非工作日受理投资者认购、撤单交易的，应于次一个工作日统一报送相关数据。</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第十五</w:t>
      </w:r>
      <w:r>
        <w:rPr>
          <w:rFonts w:ascii="仿宋" w:eastAsia="仿宋" w:hAnsi="仿宋" w:cs="Arial Unicode MS" w:hint="eastAsia"/>
          <w:kern w:val="0"/>
          <w:sz w:val="32"/>
          <w:szCs w:val="32"/>
          <w:lang w:bidi="ar"/>
        </w:rPr>
        <w:t>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自营账户柜台债券过出数量不足时，上海清算所暂不办理该柜台债券的一级结算过户，仅根据同业拆借中心日终传输的开办机构数据更新系统存储的投资者债券账户余额；待开办机构尽快完成补仓后，上海清算所再办理一级结算过户。若开办机构在指定工作日日终仍未完成补仓，则该柜台债券一级结算过户失败。上海清算所对一级结算过户情况进行监测，发现异常情况和违规情况将及时处理，并向中国人民银行报告。</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第十六条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债券登记确权日，上海清算所在收到发行人出具的发行款到账确认书，或收到</w:t>
      </w:r>
      <w:r>
        <w:rPr>
          <w:rFonts w:ascii="仿宋" w:eastAsia="仿宋" w:hAnsi="仿宋" w:cs="宋体" w:hint="eastAsia"/>
          <w:kern w:val="0"/>
          <w:sz w:val="32"/>
          <w:szCs w:val="32"/>
          <w:lang w:bidi="ar"/>
        </w:rPr>
        <w:t>发行人或其授权机构发送的确权结果后，</w:t>
      </w:r>
      <w:r>
        <w:rPr>
          <w:rFonts w:ascii="仿宋" w:eastAsia="仿宋" w:hAnsi="仿宋" w:cs="Arial Unicode MS" w:hint="eastAsia"/>
          <w:kern w:val="0"/>
          <w:sz w:val="32"/>
          <w:szCs w:val="32"/>
          <w:lang w:bidi="ar"/>
        </w:rPr>
        <w:t>对包括开办机构代理总账户在内的银行间市场债券账户持有债券进行确权处理。</w:t>
      </w:r>
      <w:r>
        <w:rPr>
          <w:rFonts w:ascii="仿宋" w:eastAsia="仿宋" w:hAnsi="仿宋" w:cs="宋体" w:hint="eastAsia"/>
          <w:kern w:val="0"/>
          <w:sz w:val="32"/>
          <w:szCs w:val="32"/>
          <w:lang w:bidi="ar"/>
        </w:rPr>
        <w:t>对于发行人明确的发行款未到账的额度，上海清算所将根据发行公告、发行人与主承销商的协议约定及发行人申请等，进行相应处理。</w:t>
      </w:r>
    </w:p>
    <w:p w:rsidR="00FB1EED" w:rsidRDefault="00412CCB">
      <w:pPr>
        <w:adjustRightInd w:val="0"/>
        <w:snapToGrid w:val="0"/>
        <w:spacing w:line="580" w:lineRule="exact"/>
        <w:jc w:val="center"/>
        <w:rPr>
          <w:rFonts w:ascii="黑体" w:eastAsia="黑体" w:hAnsi="宋体" w:cs="黑体"/>
          <w:sz w:val="32"/>
          <w:szCs w:val="32"/>
        </w:rPr>
      </w:pPr>
      <w:r>
        <w:rPr>
          <w:rFonts w:ascii="黑体" w:eastAsia="黑体" w:hAnsi="宋体" w:cs="黑体" w:hint="eastAsia"/>
          <w:sz w:val="32"/>
          <w:szCs w:val="32"/>
          <w:lang w:bidi="ar"/>
        </w:rPr>
        <w:t>第四章</w:t>
      </w:r>
      <w:r>
        <w:rPr>
          <w:rFonts w:ascii="黑体" w:eastAsia="黑体" w:hAnsi="宋体" w:cs="黑体" w:hint="eastAsia"/>
          <w:sz w:val="32"/>
          <w:szCs w:val="32"/>
          <w:lang w:bidi="ar"/>
        </w:rPr>
        <w:t xml:space="preserve"> </w:t>
      </w:r>
      <w:r>
        <w:rPr>
          <w:rFonts w:ascii="黑体" w:eastAsia="黑体" w:hAnsi="宋体" w:cs="黑体" w:hint="eastAsia"/>
          <w:sz w:val="32"/>
          <w:szCs w:val="32"/>
          <w:lang w:bidi="ar"/>
        </w:rPr>
        <w:t>业务处理</w:t>
      </w:r>
    </w:p>
    <w:p w:rsidR="00FB1EED" w:rsidRDefault="00412CCB">
      <w:pPr>
        <w:adjustRightInd w:val="0"/>
        <w:snapToGrid w:val="0"/>
        <w:spacing w:line="580" w:lineRule="exact"/>
        <w:jc w:val="center"/>
        <w:rPr>
          <w:rFonts w:ascii="楷体" w:eastAsia="楷体" w:hAnsi="楷体" w:cs="Arial Unicode MS"/>
          <w:kern w:val="0"/>
          <w:sz w:val="32"/>
          <w:szCs w:val="32"/>
        </w:rPr>
      </w:pPr>
      <w:r>
        <w:rPr>
          <w:rFonts w:ascii="楷体" w:eastAsia="楷体" w:hAnsi="楷体" w:cs="Arial Unicode MS" w:hint="eastAsia"/>
          <w:kern w:val="0"/>
          <w:sz w:val="32"/>
          <w:szCs w:val="32"/>
          <w:lang w:bidi="ar"/>
        </w:rPr>
        <w:t>第一节</w:t>
      </w:r>
      <w:r>
        <w:rPr>
          <w:rFonts w:ascii="楷体" w:eastAsia="楷体" w:hAnsi="楷体" w:cs="Arial Unicode MS" w:hint="eastAsia"/>
          <w:kern w:val="0"/>
          <w:sz w:val="32"/>
          <w:szCs w:val="32"/>
          <w:lang w:bidi="ar"/>
        </w:rPr>
        <w:t xml:space="preserve"> </w:t>
      </w:r>
      <w:r>
        <w:rPr>
          <w:rFonts w:ascii="楷体" w:eastAsia="楷体" w:hAnsi="楷体" w:cs="Arial Unicode MS" w:hint="eastAsia"/>
          <w:kern w:val="0"/>
          <w:sz w:val="32"/>
          <w:szCs w:val="32"/>
          <w:lang w:bidi="ar"/>
        </w:rPr>
        <w:t>交易结算业务</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第十七条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开办机构应按照中国人民银行相关规定，为投资者提供各类报价交易服务。开办机构与投资者达成债券交易后，应当及时采用券款对付的方式为投资者办理资金清算和债券结算。</w:t>
      </w:r>
      <w:r>
        <w:rPr>
          <w:rFonts w:ascii="仿宋" w:eastAsia="仿宋" w:hAnsi="仿宋" w:cs="Arial Unicode MS" w:hint="eastAsia"/>
          <w:kern w:val="0"/>
          <w:sz w:val="32"/>
          <w:szCs w:val="32"/>
          <w:lang w:bidi="ar"/>
        </w:rPr>
        <w:t xml:space="preserve"> </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第十八条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开办机构应在每个工作日于同业拆借中心接口规范要求时点前，将本机构当日柜台交易相关的一级结算过户指令传送</w:t>
      </w:r>
      <w:r>
        <w:rPr>
          <w:rFonts w:ascii="仿宋" w:eastAsia="仿宋" w:hAnsi="仿宋" w:cs="Arial Unicode MS" w:hint="eastAsia"/>
          <w:kern w:val="0"/>
          <w:sz w:val="32"/>
          <w:szCs w:val="32"/>
          <w:lang w:bidi="ar"/>
        </w:rPr>
        <w:t>同业拆借中心。根据开办机构业务开展需要，相关一级结算过户指令可以是当日开办机构与投资者结算成功的柜台债券逐笔交易对应的实时一级结算过户指令，也可以是某个时段或当日结算成功的柜台债券交易汇总轧差后的一级结算过户指令。开办机构与投资者开展投资者作为正回购方的质押式回购交易，无需传送一级结算过户指令。开办机构今后如开展涉及开办机构自营账户质押的债券回购和债券借贷首到期交易，开办机构应实时逐笔向同业拆借中心报送相应格式的一级结算过户指令。同业拆借中心按照与上海清算所约定的数据传输规范，将相关指令同步传输至上海清算所</w:t>
      </w:r>
      <w:r>
        <w:rPr>
          <w:rFonts w:ascii="仿宋" w:eastAsia="仿宋" w:hAnsi="仿宋" w:cs="Arial Unicode MS" w:hint="eastAsia"/>
          <w:kern w:val="0"/>
          <w:sz w:val="32"/>
          <w:szCs w:val="32"/>
          <w:lang w:bidi="ar"/>
        </w:rPr>
        <w:t>。上海清算所根据接口规范对过户指令进行检查，对检查通过的指令，上海清算所实时进行自营账户与代理总账户之间的一级结算过户处理和</w:t>
      </w:r>
      <w:r>
        <w:rPr>
          <w:rFonts w:ascii="仿宋" w:eastAsia="仿宋" w:hAnsi="仿宋" w:cs="Arial Unicode MS" w:hint="eastAsia"/>
          <w:kern w:val="0"/>
          <w:sz w:val="32"/>
          <w:szCs w:val="32"/>
          <w:lang w:bidi="ar"/>
        </w:rPr>
        <w:t>/</w:t>
      </w:r>
      <w:r>
        <w:rPr>
          <w:rFonts w:ascii="仿宋" w:eastAsia="仿宋" w:hAnsi="仿宋" w:cs="Arial Unicode MS" w:hint="eastAsia"/>
          <w:kern w:val="0"/>
          <w:sz w:val="32"/>
          <w:szCs w:val="32"/>
          <w:lang w:bidi="ar"/>
        </w:rPr>
        <w:t>或自营账户的质押</w:t>
      </w:r>
      <w:r>
        <w:rPr>
          <w:rFonts w:ascii="仿宋" w:eastAsia="仿宋" w:hAnsi="仿宋" w:cs="Arial Unicode MS" w:hint="eastAsia"/>
          <w:kern w:val="0"/>
          <w:sz w:val="32"/>
          <w:szCs w:val="32"/>
          <w:lang w:bidi="ar"/>
        </w:rPr>
        <w:t>/</w:t>
      </w:r>
      <w:r>
        <w:rPr>
          <w:rFonts w:ascii="仿宋" w:eastAsia="仿宋" w:hAnsi="仿宋" w:cs="Arial Unicode MS" w:hint="eastAsia"/>
          <w:kern w:val="0"/>
          <w:sz w:val="32"/>
          <w:szCs w:val="32"/>
          <w:lang w:bidi="ar"/>
        </w:rPr>
        <w:t>解押处理；对检查不通过的，上海清算所反馈同业拆借中心当日进行及时更正，如因开办机构原始发送数据有误导致，开办机构应配合同业拆借中心在当日进行及时更正处理。</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第十九条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于工作日同业拆借中心接口规范要求时点前，将本机构所有投资者当日结算成功和到期结算失败等的全部交易结算明细信息、所有投资者债券账户余额信息等报送至同业拆借中心。开办机构应确保报送数据无遗漏，报送</w:t>
      </w:r>
      <w:r>
        <w:rPr>
          <w:rFonts w:ascii="仿宋" w:eastAsia="仿宋" w:hAnsi="仿宋" w:cs="Arial Unicode MS" w:hint="eastAsia"/>
          <w:kern w:val="0"/>
          <w:sz w:val="32"/>
          <w:szCs w:val="32"/>
          <w:lang w:bidi="ar"/>
        </w:rPr>
        <w:t>的投资者债券账户余额总额与代理总账户余额相等。同业拆借中心按照与上海清算所约定的数据传输规范和时点要求，将相关信息传输至上海清算所。上海清算所根据接口规范对上述信息进行检查，对检查通过的信息，上海清算所系统存储或更新相关信息；对检查不通过的，上海清算所反馈同业拆借中心进行及时更正，如因开办机构原始发送数据有误导致，开办机构应配合同业拆借中心进行及时更正处理。</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第二十条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开办机构在工作日营业结束后或非工作日受理投资者柜台交易的，应于次一个工作日统一报送相关数据。</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第二十一条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开办机构自营账户或代理总账户出现柜台债券过出数量不足时，上海清算所按照本细则第十五条相同方式处理。</w:t>
      </w:r>
      <w:r>
        <w:rPr>
          <w:rFonts w:ascii="仿宋" w:eastAsia="仿宋" w:hAnsi="仿宋" w:cs="Arial Unicode MS" w:hint="eastAsia"/>
          <w:kern w:val="0"/>
          <w:sz w:val="32"/>
          <w:szCs w:val="32"/>
          <w:lang w:bidi="ar"/>
        </w:rPr>
        <w:t xml:space="preserve"> </w:t>
      </w:r>
    </w:p>
    <w:p w:rsidR="00FB1EED" w:rsidRDefault="00412CCB">
      <w:pPr>
        <w:adjustRightInd w:val="0"/>
        <w:snapToGrid w:val="0"/>
        <w:spacing w:line="580" w:lineRule="exact"/>
        <w:jc w:val="center"/>
        <w:rPr>
          <w:rFonts w:ascii="楷体" w:eastAsia="楷体" w:hAnsi="楷体" w:cs="Arial Unicode MS"/>
          <w:kern w:val="0"/>
          <w:sz w:val="32"/>
          <w:szCs w:val="32"/>
        </w:rPr>
      </w:pPr>
      <w:r>
        <w:rPr>
          <w:rFonts w:ascii="楷体" w:eastAsia="楷体" w:hAnsi="楷体" w:cs="Arial Unicode MS" w:hint="eastAsia"/>
          <w:kern w:val="0"/>
          <w:sz w:val="32"/>
          <w:szCs w:val="32"/>
          <w:lang w:bidi="ar"/>
        </w:rPr>
        <w:t>第二节</w:t>
      </w:r>
      <w:r>
        <w:rPr>
          <w:rFonts w:ascii="楷体" w:eastAsia="楷体" w:hAnsi="楷体" w:cs="Arial Unicode MS" w:hint="eastAsia"/>
          <w:kern w:val="0"/>
          <w:sz w:val="32"/>
          <w:szCs w:val="32"/>
          <w:lang w:bidi="ar"/>
        </w:rPr>
        <w:t xml:space="preserve"> </w:t>
      </w:r>
      <w:r>
        <w:rPr>
          <w:rFonts w:ascii="楷体" w:eastAsia="楷体" w:hAnsi="楷体" w:cs="Arial Unicode MS" w:hint="eastAsia"/>
          <w:kern w:val="0"/>
          <w:sz w:val="32"/>
          <w:szCs w:val="32"/>
          <w:lang w:bidi="ar"/>
        </w:rPr>
        <w:t>转托管</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第二十二条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投资者可申请将其持有的债券在不同开办机构开立的投资者债券账户之间办理转托管。到期日前一个工作日停止办理转托管业务。</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第二十三条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转出方开办机构收到投资者转托管转出申请后，应与投资者确认投资者转入账户和转出账户的开户证件类型、证件号码一致，申请转出面额不得超过投资者转出账户中该债券的可用余额。开办机构对投资者申请转出的债券予以冻结，并于当日同业拆借中心接口规范要求时点前</w:t>
      </w:r>
      <w:r>
        <w:rPr>
          <w:rFonts w:ascii="仿宋" w:eastAsia="仿宋" w:hAnsi="仿宋" w:cs="Arial Unicode MS" w:hint="eastAsia"/>
          <w:kern w:val="0"/>
          <w:sz w:val="32"/>
          <w:szCs w:val="32"/>
          <w:lang w:bidi="ar"/>
        </w:rPr>
        <w:t>，将转托管申请数据传送同业拆借中心。对于同业拆借中心反馈接口检查失败的数据，转出方开办机构当日应及时对投资者冻结债券予以解冻。</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第二十四条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转入方开办机构当日收到同业拆借中心接口检查通过转发的转托管申请数据后，应对转托管申请数据及时进行转入审核，并于次一工作日在同业拆借中心接口规范要求时点前将审核结果反馈同业拆借中心。</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对于转入审核成功的反馈，同业拆借中心按照与上海清算所约定的数据传输规范，将转托管一级过户指令传输至上海清算所。上海清算所根据接口规范对过户指令进行检查，对检查通过的指令，上海清算所实时进行转</w:t>
      </w:r>
      <w:r>
        <w:rPr>
          <w:rFonts w:ascii="仿宋" w:eastAsia="仿宋" w:hAnsi="仿宋" w:cs="Arial Unicode MS" w:hint="eastAsia"/>
          <w:kern w:val="0"/>
          <w:sz w:val="32"/>
          <w:szCs w:val="32"/>
          <w:lang w:bidi="ar"/>
        </w:rPr>
        <w:t>出方代理总账户与转入方代理总账户之间的一级过户处理；检查不通过的，上海清算所反馈同业拆借中心当日进行及时更正。上海清算所将转托管一级过户处理结果反馈同业拆借中心，同业拆借中心同步发送转托管双方开办机构后续处理。对于一级过户处理成功的，转出方开办机构当日应及时对投资者冻结债券予以解冻并记减债券账户余额，转入方开办机构当日应及时对相应投资者债券账户进行余额记增处理；对于一级过户处理失败的，转出方开办机构当日应及时对投资者冻结债券予以解冻。</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对于转入审核失败的反馈，同业拆借中心转发转出方开办机构，后者当日应及时对</w:t>
      </w:r>
      <w:r>
        <w:rPr>
          <w:rFonts w:ascii="仿宋" w:eastAsia="仿宋" w:hAnsi="仿宋" w:cs="Arial Unicode MS" w:hint="eastAsia"/>
          <w:kern w:val="0"/>
          <w:sz w:val="32"/>
          <w:szCs w:val="32"/>
          <w:lang w:bidi="ar"/>
        </w:rPr>
        <w:t>投资者冻结债券予以解冻。</w:t>
      </w:r>
    </w:p>
    <w:p w:rsidR="00FB1EED" w:rsidRDefault="00412CCB">
      <w:pPr>
        <w:adjustRightInd w:val="0"/>
        <w:snapToGrid w:val="0"/>
        <w:spacing w:line="580" w:lineRule="exact"/>
        <w:ind w:firstLineChars="200" w:firstLine="640"/>
        <w:rPr>
          <w:rFonts w:ascii="仿宋" w:eastAsia="仿宋" w:hAnsi="仿宋" w:cs="仿宋"/>
          <w:sz w:val="32"/>
          <w:szCs w:val="32"/>
        </w:rPr>
      </w:pPr>
      <w:r>
        <w:rPr>
          <w:rFonts w:ascii="仿宋" w:eastAsia="仿宋" w:hAnsi="仿宋" w:cs="Arial Unicode MS" w:hint="eastAsia"/>
          <w:kern w:val="0"/>
          <w:sz w:val="32"/>
          <w:szCs w:val="32"/>
          <w:lang w:bidi="ar"/>
        </w:rPr>
        <w:t>第二十五条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于工作日同业拆借中心接口规范要求时点前，将本机构所有投资者当日转托管转出和转入记账成功的全部转托管记账明细信息、所有投资者债券账户余额信息等报送至同业拆借中心。开办机构应确保报送数据无遗漏，报送的投资者债券账户余额总额与代理总账户余额相等。同业拆借中心按照与上海清算所约定的数据传输规范和时点要求，将相关信息传输至上海清算所。上海清算所根据接口规范对上述信息进行检查，对检查通过的信息，上海清算所系统存储或更新相关信息；对检查不通过的，上海清算所反馈同业拆借中心进</w:t>
      </w:r>
      <w:r>
        <w:rPr>
          <w:rFonts w:ascii="仿宋" w:eastAsia="仿宋" w:hAnsi="仿宋" w:cs="Arial Unicode MS" w:hint="eastAsia"/>
          <w:kern w:val="0"/>
          <w:sz w:val="32"/>
          <w:szCs w:val="32"/>
          <w:lang w:bidi="ar"/>
        </w:rPr>
        <w:t>行及时更正，如因开办机构原始发送数据有误导致，开办机构应配合同业拆借中心进行及时更正处理。</w:t>
      </w:r>
    </w:p>
    <w:p w:rsidR="00FB1EED" w:rsidRDefault="00412CCB">
      <w:pPr>
        <w:adjustRightInd w:val="0"/>
        <w:snapToGrid w:val="0"/>
        <w:spacing w:line="580" w:lineRule="exact"/>
        <w:jc w:val="center"/>
        <w:rPr>
          <w:rFonts w:ascii="楷体" w:eastAsia="楷体" w:hAnsi="楷体" w:cs="Arial Unicode MS"/>
          <w:kern w:val="0"/>
          <w:sz w:val="32"/>
          <w:szCs w:val="32"/>
        </w:rPr>
      </w:pPr>
      <w:r>
        <w:rPr>
          <w:rFonts w:ascii="楷体" w:eastAsia="楷体" w:hAnsi="楷体" w:cs="Arial Unicode MS" w:hint="eastAsia"/>
          <w:kern w:val="0"/>
          <w:sz w:val="32"/>
          <w:szCs w:val="32"/>
          <w:lang w:bidi="ar"/>
        </w:rPr>
        <w:t>第三节</w:t>
      </w:r>
      <w:r>
        <w:rPr>
          <w:rFonts w:ascii="楷体" w:eastAsia="楷体" w:hAnsi="楷体" w:cs="Arial Unicode MS" w:hint="eastAsia"/>
          <w:kern w:val="0"/>
          <w:sz w:val="32"/>
          <w:szCs w:val="32"/>
          <w:lang w:bidi="ar"/>
        </w:rPr>
        <w:t xml:space="preserve"> </w:t>
      </w:r>
      <w:r>
        <w:rPr>
          <w:rFonts w:ascii="楷体" w:eastAsia="楷体" w:hAnsi="楷体" w:cs="Arial Unicode MS" w:hint="eastAsia"/>
          <w:kern w:val="0"/>
          <w:sz w:val="32"/>
          <w:szCs w:val="32"/>
          <w:lang w:bidi="ar"/>
        </w:rPr>
        <w:t>冻结、质押和非交易过户</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第二十六条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投资者所持债券发生质押或冻结时，开办机构应对投资者持有的债券进行相应操作和记载，质押、冻结登记在投资者债券账户层面进行。</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第二十七条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投资者发生由于法院扣划、抵债、赠予、遗产继承等引起的债券所有权转移时，开办机构应根据法律规定为投资者办理非交易过户。非交易过户的收券方应在付券方开户的开办机构开立投资人债券账户，开办机构应做好投资者适当性管理。</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第二十八条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开办机构应于工作日</w:t>
      </w:r>
      <w:r>
        <w:rPr>
          <w:rFonts w:ascii="仿宋" w:eastAsia="仿宋" w:hAnsi="仿宋" w:cs="Arial Unicode MS" w:hint="eastAsia"/>
          <w:kern w:val="0"/>
          <w:sz w:val="32"/>
          <w:szCs w:val="32"/>
          <w:lang w:bidi="ar"/>
        </w:rPr>
        <w:t>同业拆借中心接口规范要求时点前，将本机构所有投资者当日非交易质押和解押、冻结和解冻、非交易过户的全部明细信息，所有投资者债券账户余额信息等报送至同业拆借中心。开办机构应确保报送数据无遗漏，报送的投资者债券账户余额总额与代理总账户余额相等。同业拆借中心按照与上海清算所约定的数据传输规范和时点要求，将相关信息传输至上海清算所。上海清算所根据接口规范对上述信息进行检查，对检查通过的信息，上海清算所系统存储或更新相关信息；对检查不通过的，上海清算所反馈同业拆借中心进行及时更正，如因开办机构原始发送数据有误导致，开办</w:t>
      </w:r>
      <w:r>
        <w:rPr>
          <w:rFonts w:ascii="仿宋" w:eastAsia="仿宋" w:hAnsi="仿宋" w:cs="Arial Unicode MS" w:hint="eastAsia"/>
          <w:kern w:val="0"/>
          <w:sz w:val="32"/>
          <w:szCs w:val="32"/>
          <w:lang w:bidi="ar"/>
        </w:rPr>
        <w:t>机构应配合同业拆借中心进行及时更正处理。</w:t>
      </w:r>
    </w:p>
    <w:p w:rsidR="00FB1EED" w:rsidRDefault="00412CCB">
      <w:pPr>
        <w:adjustRightInd w:val="0"/>
        <w:snapToGrid w:val="0"/>
        <w:spacing w:line="580" w:lineRule="exact"/>
        <w:jc w:val="center"/>
        <w:rPr>
          <w:rFonts w:ascii="黑体" w:eastAsia="黑体" w:hAnsi="宋体" w:cs="黑体"/>
          <w:sz w:val="32"/>
          <w:szCs w:val="32"/>
        </w:rPr>
      </w:pPr>
      <w:r>
        <w:rPr>
          <w:rFonts w:ascii="黑体" w:eastAsia="黑体" w:hAnsi="宋体" w:cs="黑体" w:hint="eastAsia"/>
          <w:sz w:val="32"/>
          <w:szCs w:val="32"/>
          <w:lang w:bidi="ar"/>
        </w:rPr>
        <w:t>第五章</w:t>
      </w:r>
      <w:r>
        <w:rPr>
          <w:rFonts w:ascii="黑体" w:eastAsia="黑体" w:hAnsi="宋体" w:cs="黑体" w:hint="eastAsia"/>
          <w:sz w:val="32"/>
          <w:szCs w:val="32"/>
          <w:lang w:bidi="ar"/>
        </w:rPr>
        <w:t xml:space="preserve"> </w:t>
      </w:r>
      <w:r>
        <w:rPr>
          <w:rFonts w:ascii="黑体" w:eastAsia="黑体" w:hAnsi="宋体" w:cs="黑体" w:hint="eastAsia"/>
          <w:sz w:val="32"/>
          <w:szCs w:val="32"/>
          <w:lang w:bidi="ar"/>
        </w:rPr>
        <w:t>付息兑付和行权处理</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第二十九条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上海清算所作为一级托管人，为所托管债券提供代理付息及兑付服务。投资者的付息兑付处理，由开办机构负责办理。</w:t>
      </w:r>
      <w:r>
        <w:rPr>
          <w:rFonts w:ascii="仿宋" w:eastAsia="仿宋" w:hAnsi="仿宋" w:cs="仿宋" w:hint="eastAsia"/>
          <w:sz w:val="32"/>
          <w:szCs w:val="32"/>
          <w:lang w:bidi="ar"/>
        </w:rPr>
        <w:t>开办机构应当向投资者特别提示柜台债券的本息兑付条款及与还本付息有关的附加条款、额外费用、税收政策等重要信息。开办机构可通过上海清算所官网等渠道获取柜台债券相关披露信息。</w:t>
      </w:r>
    </w:p>
    <w:p w:rsidR="00FB1EED" w:rsidRDefault="00412CCB">
      <w:pPr>
        <w:pStyle w:val="aa"/>
        <w:adjustRightInd w:val="0"/>
        <w:snapToGrid w:val="0"/>
        <w:spacing w:before="0" w:after="0" w:line="580" w:lineRule="exact"/>
        <w:ind w:firstLineChars="200" w:firstLine="640"/>
        <w:jc w:val="both"/>
        <w:rPr>
          <w:rFonts w:ascii="仿宋" w:eastAsia="仿宋" w:hAnsi="仿宋" w:cs="仿宋"/>
          <w:sz w:val="32"/>
          <w:szCs w:val="32"/>
        </w:rPr>
      </w:pPr>
      <w:r>
        <w:rPr>
          <w:rFonts w:ascii="仿宋" w:eastAsia="仿宋" w:hAnsi="仿宋" w:cs="仿宋"/>
          <w:sz w:val="32"/>
          <w:szCs w:val="32"/>
        </w:rPr>
        <w:t>第三十条</w:t>
      </w:r>
      <w:r>
        <w:rPr>
          <w:rFonts w:ascii="仿宋" w:eastAsia="仿宋" w:hAnsi="仿宋" w:cs="仿宋"/>
          <w:sz w:val="32"/>
          <w:szCs w:val="32"/>
        </w:rPr>
        <w:t xml:space="preserve"> </w:t>
      </w:r>
      <w:r>
        <w:rPr>
          <w:rFonts w:ascii="仿宋" w:eastAsia="仿宋" w:hAnsi="仿宋" w:cs="仿宋"/>
          <w:sz w:val="32"/>
          <w:szCs w:val="32"/>
        </w:rPr>
        <w:t>投资者持有的债券，付息登记日为付息日前一个工作日，兑付登记日为兑付日前一个工作日，到期日停止新增交易结算和债券过户处理。发行人提前全部兑付或全部赎</w:t>
      </w:r>
      <w:r>
        <w:rPr>
          <w:rFonts w:ascii="仿宋" w:eastAsia="仿宋" w:hAnsi="仿宋" w:cs="仿宋"/>
          <w:sz w:val="32"/>
          <w:szCs w:val="32"/>
        </w:rPr>
        <w:t>回的，兑付日开办机构应停止新增交易结算业务和债券过户相关业务。付息、兑付登记日日终投资者持有债券的，享有该债券本金及本期利息。法律另有规定或当事人另有约定的除外。</w:t>
      </w:r>
    </w:p>
    <w:p w:rsidR="00FB1EED" w:rsidRDefault="00412CCB">
      <w:pPr>
        <w:pStyle w:val="aa"/>
        <w:adjustRightInd w:val="0"/>
        <w:snapToGrid w:val="0"/>
        <w:spacing w:before="0" w:after="0" w:line="580" w:lineRule="exact"/>
        <w:ind w:firstLineChars="200" w:firstLine="640"/>
        <w:jc w:val="both"/>
        <w:rPr>
          <w:rFonts w:ascii="仿宋" w:eastAsia="仿宋" w:hAnsi="仿宋" w:cs="仿宋"/>
          <w:sz w:val="32"/>
          <w:szCs w:val="32"/>
        </w:rPr>
      </w:pPr>
      <w:r>
        <w:rPr>
          <w:rFonts w:ascii="仿宋" w:eastAsia="仿宋" w:hAnsi="仿宋" w:cs="仿宋"/>
          <w:sz w:val="32"/>
          <w:szCs w:val="32"/>
        </w:rPr>
        <w:t>投资者债券账户中在付息、兑付登记日日终仍处于冻结或质押状态的债券，利息或本息资金的处理由开办机构按照司法文书的规定或质押合同的约定等执行。</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第三十一条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柜台债券发行人</w:t>
      </w:r>
      <w:r>
        <w:rPr>
          <w:rFonts w:ascii="仿宋" w:eastAsia="仿宋" w:hAnsi="仿宋" w:cs="仿宋" w:hint="eastAsia"/>
          <w:color w:val="000000"/>
          <w:sz w:val="32"/>
          <w:szCs w:val="32"/>
          <w:lang w:bidi="ar"/>
        </w:rPr>
        <w:t>付息兑付安排与银行间债券市场交易流通的债券保持一致。上海清算所将与发行人、开办机构共同做好债券付息兑付资金划转安排，保障柜台债券付息兑付工作顺利进行。</w:t>
      </w:r>
      <w:r>
        <w:rPr>
          <w:rFonts w:ascii="仿宋" w:eastAsia="仿宋" w:hAnsi="仿宋" w:cs="宋体" w:hint="eastAsia"/>
          <w:kern w:val="0"/>
          <w:sz w:val="32"/>
          <w:szCs w:val="32"/>
          <w:lang w:bidi="ar"/>
        </w:rPr>
        <w:t>在发行人资金及时、足额到账的情况下，上海清算所于付息兑付日及时将柜台债券付息兑付资金划付</w:t>
      </w:r>
      <w:r>
        <w:rPr>
          <w:rFonts w:ascii="仿宋" w:eastAsia="仿宋" w:hAnsi="仿宋" w:cs="Arial Unicode MS" w:hint="eastAsia"/>
          <w:kern w:val="0"/>
          <w:sz w:val="32"/>
          <w:szCs w:val="32"/>
          <w:lang w:bidi="ar"/>
        </w:rPr>
        <w:t>至各开办机构指定的资金账户</w:t>
      </w:r>
      <w:r>
        <w:rPr>
          <w:rFonts w:ascii="仿宋" w:eastAsia="仿宋" w:hAnsi="仿宋" w:cs="宋体" w:hint="eastAsia"/>
          <w:kern w:val="0"/>
          <w:sz w:val="32"/>
          <w:szCs w:val="32"/>
          <w:lang w:bidi="ar"/>
        </w:rPr>
        <w:t>。</w:t>
      </w:r>
      <w:r>
        <w:rPr>
          <w:rFonts w:ascii="仿宋" w:eastAsia="仿宋" w:hAnsi="仿宋" w:cs="仿宋" w:hint="eastAsia"/>
          <w:color w:val="000000"/>
          <w:sz w:val="32"/>
          <w:szCs w:val="32"/>
          <w:lang w:bidi="ar"/>
        </w:rPr>
        <w:t>开办机构在收到上述款项后应及时将付息兑付资金划入投资者资金账户。如遇特殊情况，开办机构应及时告知投资者。</w:t>
      </w:r>
      <w:r>
        <w:rPr>
          <w:rFonts w:ascii="仿宋" w:eastAsia="仿宋" w:hAnsi="仿宋" w:cs="Arial Unicode MS" w:hint="eastAsia"/>
          <w:kern w:val="0"/>
          <w:sz w:val="32"/>
          <w:szCs w:val="32"/>
          <w:lang w:bidi="ar"/>
        </w:rPr>
        <w:t>柜台债券全部兑付完成（包括到期兑付、提前全部兑付、发行人全部赎回等）后，上海清算所对包含开办机构自营账户和代理总账户在内的银行间市场债券账户进行托管余额注销处理，开办机构对投资者债券账户进行托管余额注销处理。</w:t>
      </w:r>
    </w:p>
    <w:p w:rsidR="00FB1EED" w:rsidRDefault="00412CCB">
      <w:pPr>
        <w:adjustRightInd w:val="0"/>
        <w:snapToGrid w:val="0"/>
        <w:spacing w:line="580" w:lineRule="exact"/>
        <w:ind w:firstLineChars="200" w:firstLine="640"/>
        <w:rPr>
          <w:rFonts w:ascii="仿宋" w:eastAsia="仿宋" w:hAnsi="仿宋" w:cs="仿宋"/>
          <w:sz w:val="32"/>
          <w:szCs w:val="32"/>
        </w:rPr>
      </w:pPr>
      <w:r>
        <w:rPr>
          <w:rFonts w:ascii="仿宋" w:eastAsia="仿宋" w:hAnsi="仿宋" w:cs="Arial Unicode MS" w:hint="eastAsia"/>
          <w:kern w:val="0"/>
          <w:sz w:val="32"/>
          <w:szCs w:val="32"/>
          <w:lang w:bidi="ar"/>
        </w:rPr>
        <w:t>第三十二条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对于含选择权的柜台债券，投资者行使回售选择权时，开办机构应及时收集投资者回售意愿，按照上海清算所对于含权债券行权业务的相关规定，使用代理总账户在</w:t>
      </w:r>
      <w:r>
        <w:rPr>
          <w:rFonts w:ascii="仿宋" w:eastAsia="仿宋" w:hAnsi="仿宋" w:cs="仿宋" w:hint="eastAsia"/>
          <w:sz w:val="32"/>
          <w:szCs w:val="32"/>
          <w:lang w:bidi="ar"/>
        </w:rPr>
        <w:t>规定的行权申报期间内</w:t>
      </w:r>
      <w:r>
        <w:rPr>
          <w:rFonts w:ascii="仿宋" w:eastAsia="仿宋" w:hAnsi="仿宋" w:cs="Arial Unicode MS" w:hint="eastAsia"/>
          <w:kern w:val="0"/>
          <w:sz w:val="32"/>
          <w:szCs w:val="32"/>
          <w:lang w:bidi="ar"/>
        </w:rPr>
        <w:t>完成回售选择权行权申报等操作。开办机构应及时锁定投资者债券账户中拟回售的债券数量，并</w:t>
      </w:r>
      <w:r>
        <w:rPr>
          <w:rFonts w:ascii="仿宋" w:eastAsia="仿宋" w:hAnsi="仿宋" w:cs="仿宋" w:hint="eastAsia"/>
          <w:sz w:val="32"/>
          <w:szCs w:val="32"/>
          <w:lang w:bidi="ar"/>
        </w:rPr>
        <w:t>确保代理总账户中拟回售的债券在行权申报截止日日终可用余额足额。行权日，上海清算所在及时足额收到发行人付息兑付资金后，将资金</w:t>
      </w:r>
      <w:r>
        <w:rPr>
          <w:rFonts w:ascii="仿宋" w:eastAsia="仿宋" w:hAnsi="仿宋" w:cs="宋体" w:hint="eastAsia"/>
          <w:kern w:val="0"/>
          <w:sz w:val="32"/>
          <w:szCs w:val="32"/>
          <w:lang w:bidi="ar"/>
        </w:rPr>
        <w:t>划付</w:t>
      </w:r>
      <w:r>
        <w:rPr>
          <w:rFonts w:ascii="仿宋" w:eastAsia="仿宋" w:hAnsi="仿宋" w:cs="Arial Unicode MS" w:hint="eastAsia"/>
          <w:kern w:val="0"/>
          <w:sz w:val="32"/>
          <w:szCs w:val="32"/>
          <w:lang w:bidi="ar"/>
        </w:rPr>
        <w:t>至成功申报回售的开办机构指定的资金账户</w:t>
      </w:r>
      <w:r>
        <w:rPr>
          <w:rFonts w:ascii="仿宋" w:eastAsia="仿宋" w:hAnsi="仿宋" w:cs="宋体" w:hint="eastAsia"/>
          <w:kern w:val="0"/>
          <w:sz w:val="32"/>
          <w:szCs w:val="32"/>
          <w:lang w:bidi="ar"/>
        </w:rPr>
        <w:t>。</w:t>
      </w:r>
      <w:r>
        <w:rPr>
          <w:rFonts w:ascii="仿宋" w:eastAsia="仿宋" w:hAnsi="仿宋" w:cs="仿宋" w:hint="eastAsia"/>
          <w:color w:val="000000"/>
          <w:sz w:val="32"/>
          <w:szCs w:val="32"/>
          <w:lang w:bidi="ar"/>
        </w:rPr>
        <w:t>开办机构在收到上述款项后应及时将资金划入相关投资者资金账户。如遇特殊情况，开办机构应及时告知投资者</w:t>
      </w:r>
      <w:r>
        <w:rPr>
          <w:rFonts w:ascii="仿宋" w:eastAsia="仿宋" w:hAnsi="仿宋" w:cs="仿宋" w:hint="eastAsia"/>
          <w:color w:val="000000"/>
          <w:sz w:val="32"/>
          <w:szCs w:val="32"/>
          <w:lang w:bidi="ar"/>
        </w:rPr>
        <w:t>。回售行权付息兑付资金划付完成后，上海清算所对代理总账户、开办机构</w:t>
      </w:r>
      <w:r>
        <w:rPr>
          <w:rFonts w:ascii="仿宋" w:eastAsia="仿宋" w:hAnsi="仿宋" w:cs="仿宋" w:hint="eastAsia"/>
          <w:sz w:val="32"/>
          <w:szCs w:val="32"/>
          <w:lang w:bidi="ar"/>
        </w:rPr>
        <w:t>对投资者债券账户分别注销相应成功行权部分的债券托管余额。</w:t>
      </w:r>
    </w:p>
    <w:p w:rsidR="00FB1EED" w:rsidRDefault="00412CCB">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开办机构使用代理总账户参与柜台债券发行人主动债务管理工具业务的，按照中国银行间市场交易商协会、上海清算所的相关规定等执行。</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仿宋" w:hint="eastAsia"/>
          <w:sz w:val="32"/>
          <w:szCs w:val="32"/>
          <w:lang w:bidi="ar"/>
        </w:rPr>
        <w:t>第三十三条</w:t>
      </w:r>
      <w:r>
        <w:rPr>
          <w:rFonts w:ascii="仿宋" w:eastAsia="仿宋" w:hAnsi="仿宋" w:cs="仿宋" w:hint="eastAsia"/>
          <w:sz w:val="32"/>
          <w:szCs w:val="32"/>
          <w:lang w:bidi="ar"/>
        </w:rPr>
        <w:t xml:space="preserve"> </w:t>
      </w:r>
      <w:r>
        <w:rPr>
          <w:rFonts w:ascii="仿宋" w:eastAsia="仿宋" w:hAnsi="仿宋" w:cs="Arial Unicode MS" w:hint="eastAsia"/>
          <w:kern w:val="0"/>
          <w:sz w:val="32"/>
          <w:szCs w:val="32"/>
          <w:lang w:bidi="ar"/>
        </w:rPr>
        <w:t>发行人、开办机构、上海清算所造成付息兑付资金支付延误的，由延误一方承担全部责任。</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第三十四条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开办机构应于工作日同业拆借中心接口规范要求时点前，将本机构所有投资者当日托管余额发生行权注销、兑付注销等的余额注销全部明细信息，所有投资者债券账户余额信息等报</w:t>
      </w:r>
      <w:r>
        <w:rPr>
          <w:rFonts w:ascii="仿宋" w:eastAsia="仿宋" w:hAnsi="仿宋" w:cs="Arial Unicode MS" w:hint="eastAsia"/>
          <w:kern w:val="0"/>
          <w:sz w:val="32"/>
          <w:szCs w:val="32"/>
          <w:lang w:bidi="ar"/>
        </w:rPr>
        <w:t>送至同业拆借中心。开办机构应确保报送数据无遗漏，同业拆借中心按照与上海清算所约定的数据传输规范和时点要求，将相关信息传输至上海清算所。上海清算所根据接口规范对上述信息进行检查，对检查通过的信息，上海清算所系统存储或更新相关信息；对检查不通过的，上海清算所反馈同业拆借中心进行及时更正，如因开办机构原始发送数据有误导致，开办机构应配合同业拆借中心进行及时更正处理。</w:t>
      </w:r>
    </w:p>
    <w:p w:rsidR="00FB1EED" w:rsidRDefault="00412CCB">
      <w:pPr>
        <w:adjustRightInd w:val="0"/>
        <w:snapToGrid w:val="0"/>
        <w:spacing w:line="580" w:lineRule="exact"/>
        <w:jc w:val="center"/>
        <w:rPr>
          <w:rFonts w:ascii="黑体" w:eastAsia="黑体" w:hAnsi="宋体" w:cs="黑体"/>
          <w:sz w:val="32"/>
          <w:szCs w:val="32"/>
        </w:rPr>
      </w:pPr>
      <w:r>
        <w:rPr>
          <w:rFonts w:ascii="黑体" w:eastAsia="黑体" w:hAnsi="宋体" w:cs="黑体" w:hint="eastAsia"/>
          <w:sz w:val="32"/>
          <w:szCs w:val="32"/>
          <w:lang w:bidi="ar"/>
        </w:rPr>
        <w:t>第六章</w:t>
      </w:r>
      <w:r>
        <w:rPr>
          <w:rFonts w:ascii="黑体" w:eastAsia="黑体" w:hAnsi="宋体" w:cs="黑体" w:hint="eastAsia"/>
          <w:sz w:val="32"/>
          <w:szCs w:val="32"/>
          <w:lang w:bidi="ar"/>
        </w:rPr>
        <w:t xml:space="preserve"> </w:t>
      </w:r>
      <w:r>
        <w:rPr>
          <w:rFonts w:ascii="黑体" w:eastAsia="黑体" w:hAnsi="宋体" w:cs="黑体" w:hint="eastAsia"/>
          <w:sz w:val="32"/>
          <w:szCs w:val="32"/>
          <w:lang w:bidi="ar"/>
        </w:rPr>
        <w:t>查询和复核</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第三十五条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开办机构应及时主动通过上海清算所客户端，查询本机构代理总账户余额，确保日终本机构内部系统记载余额与上海清算所作为一级</w:t>
      </w:r>
      <w:r>
        <w:rPr>
          <w:rFonts w:ascii="仿宋" w:eastAsia="仿宋" w:hAnsi="仿宋" w:cs="Arial Unicode MS" w:hint="eastAsia"/>
          <w:kern w:val="0"/>
          <w:sz w:val="32"/>
          <w:szCs w:val="32"/>
          <w:lang w:bidi="ar"/>
        </w:rPr>
        <w:t>托管机构记载余额一致。</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第三十六条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开办机构应为在其开立债券账户的投资者提供便捷的账务查询和交易、结算、转托管等记录查询服务。</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第三十七条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上海清算所为投资者提供柜台债券账务复核查询服务。投资者可凭债券账户账号和查询密码等登录上海清算所柜台债券账务复核查询系统查询债券账户余额，初始查询密码由上海清算所提供。</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第三十八条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为投资者所记载的债券账户日终余额与上海清算所复核查询系统反映的结果应一致。如果投资者从开办机构和上海清算所查询到的结果不一致，或与自身掌握的情况不一致时，可携带有效证件和资料到开办机</w:t>
      </w:r>
      <w:r>
        <w:rPr>
          <w:rFonts w:ascii="仿宋" w:eastAsia="仿宋" w:hAnsi="仿宋" w:cs="Arial Unicode MS" w:hint="eastAsia"/>
          <w:kern w:val="0"/>
          <w:sz w:val="32"/>
          <w:szCs w:val="32"/>
          <w:lang w:bidi="ar"/>
        </w:rPr>
        <w:t>构进一步核查，开办机构应给予查证和处理。</w:t>
      </w:r>
    </w:p>
    <w:p w:rsidR="00FB1EED" w:rsidRDefault="00412CCB">
      <w:pPr>
        <w:adjustRightInd w:val="0"/>
        <w:snapToGrid w:val="0"/>
        <w:spacing w:line="580" w:lineRule="exact"/>
        <w:jc w:val="center"/>
        <w:rPr>
          <w:rFonts w:ascii="黑体" w:eastAsia="黑体" w:hAnsi="宋体" w:cs="黑体"/>
          <w:sz w:val="32"/>
          <w:szCs w:val="32"/>
        </w:rPr>
      </w:pPr>
      <w:r>
        <w:rPr>
          <w:rFonts w:ascii="黑体" w:eastAsia="黑体" w:hAnsi="宋体" w:cs="黑体" w:hint="eastAsia"/>
          <w:sz w:val="32"/>
          <w:szCs w:val="32"/>
          <w:lang w:bidi="ar"/>
        </w:rPr>
        <w:t>第七章</w:t>
      </w:r>
      <w:r>
        <w:rPr>
          <w:rFonts w:ascii="黑体" w:eastAsia="黑体" w:hAnsi="宋体" w:cs="黑体" w:hint="eastAsia"/>
          <w:sz w:val="32"/>
          <w:szCs w:val="32"/>
          <w:lang w:bidi="ar"/>
        </w:rPr>
        <w:t xml:space="preserve"> </w:t>
      </w:r>
      <w:r>
        <w:rPr>
          <w:rFonts w:ascii="黑体" w:eastAsia="黑体" w:hAnsi="宋体" w:cs="黑体" w:hint="eastAsia"/>
          <w:sz w:val="32"/>
          <w:szCs w:val="32"/>
          <w:lang w:bidi="ar"/>
        </w:rPr>
        <w:t>技术衔接</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第三十九条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按照同业拆借中心制定的接口规范要求进行双方间的柜台业务数据交互接口开发。对于已开办柜台业务但尚未切换至集中化数据报送方式的开办机构，开发完成后，应向同业拆借中心和上海清算所申请进行联网测试。同业拆借中心和上海清算所验收合格的，开办机构方可将柜台业务数据报送方式在约定日期切换至集中化数据报送方式。</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对于采用集中化数据报送方式首次对接上海清算所开展柜台业务的开办机构，开发完成后，向同业拆借中心和上海清算所申请进行联网测试验收，需提</w:t>
      </w:r>
      <w:r>
        <w:rPr>
          <w:rFonts w:ascii="仿宋" w:eastAsia="仿宋" w:hAnsi="仿宋" w:cs="Arial Unicode MS" w:hint="eastAsia"/>
          <w:kern w:val="0"/>
          <w:sz w:val="32"/>
          <w:szCs w:val="32"/>
          <w:lang w:bidi="ar"/>
        </w:rPr>
        <w:t>交加盖开办机构公章的联测验收申请。经测试符合上海清算所业务开展验收标准的，上海清算所为开办机构出具业务联测验收通过的证明。验收通过的开办机构在正式开展柜台业务前，需向上海清算所提交以下材料：</w:t>
      </w:r>
    </w:p>
    <w:p w:rsidR="00FB1EED" w:rsidRDefault="00412CCB">
      <w:pPr>
        <w:numPr>
          <w:ilvl w:val="0"/>
          <w:numId w:val="2"/>
        </w:numPr>
        <w:adjustRightInd w:val="0"/>
        <w:snapToGrid w:val="0"/>
        <w:spacing w:line="580" w:lineRule="exact"/>
        <w:rPr>
          <w:rFonts w:ascii="仿宋" w:eastAsia="仿宋" w:hAnsi="仿宋" w:cs="Arial Unicode MS"/>
          <w:kern w:val="0"/>
          <w:sz w:val="32"/>
          <w:szCs w:val="32"/>
        </w:rPr>
      </w:pPr>
      <w:r>
        <w:rPr>
          <w:rFonts w:ascii="仿宋" w:eastAsia="仿宋" w:hAnsi="仿宋" w:cs="Arial Unicode MS" w:hint="eastAsia"/>
          <w:kern w:val="0"/>
          <w:sz w:val="32"/>
          <w:szCs w:val="32"/>
          <w:lang w:bidi="ar"/>
        </w:rPr>
        <w:t>柜台业务上线申请（加盖开办机构公章）；</w:t>
      </w:r>
    </w:p>
    <w:p w:rsidR="00FB1EED" w:rsidRDefault="00412CCB">
      <w:pPr>
        <w:numPr>
          <w:ilvl w:val="0"/>
          <w:numId w:val="2"/>
        </w:numPr>
        <w:adjustRightInd w:val="0"/>
        <w:snapToGrid w:val="0"/>
        <w:spacing w:line="580" w:lineRule="exact"/>
        <w:rPr>
          <w:rFonts w:ascii="仿宋" w:eastAsia="仿宋" w:hAnsi="仿宋" w:cs="Arial Unicode MS"/>
          <w:kern w:val="0"/>
          <w:sz w:val="32"/>
          <w:szCs w:val="32"/>
        </w:rPr>
      </w:pPr>
      <w:r>
        <w:rPr>
          <w:rFonts w:ascii="仿宋" w:eastAsia="仿宋" w:hAnsi="仿宋" w:cs="Arial Unicode MS" w:hint="eastAsia"/>
          <w:kern w:val="0"/>
          <w:sz w:val="32"/>
          <w:szCs w:val="32"/>
          <w:lang w:bidi="ar"/>
        </w:rPr>
        <w:t>代理总账户开立申请表（加盖开办机构公章）；</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3.</w:t>
      </w:r>
      <w:r>
        <w:rPr>
          <w:rFonts w:ascii="仿宋" w:eastAsia="仿宋" w:hAnsi="仿宋" w:cs="Arial Unicode MS" w:hint="eastAsia"/>
          <w:kern w:val="0"/>
          <w:sz w:val="32"/>
          <w:szCs w:val="32"/>
          <w:lang w:bidi="ar"/>
        </w:rPr>
        <w:t>结算业务印鉴卡（根据开办机构需要）；</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4.</w:t>
      </w:r>
      <w:r>
        <w:rPr>
          <w:rFonts w:ascii="仿宋" w:eastAsia="仿宋" w:hAnsi="仿宋" w:cs="Arial Unicode MS" w:hint="eastAsia"/>
          <w:kern w:val="0"/>
          <w:sz w:val="32"/>
          <w:szCs w:val="32"/>
          <w:lang w:bidi="ar"/>
        </w:rPr>
        <w:t>上海清算所要求的其他材料。</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上海清算所收到开办机构完整的申请材料后进行审核。审核通过的，上海清算所为开办机构开立代理总账户并开通相应权限，三方约定业务上线具体日期。从该日期开始，开办机构需根据同业拆借中心接口规范要求，每个工作日向同业拆借中心报送柜台业务数据。工作日无业务发生的，同业拆借中心按照与上海清算所约定的数据传输规范相关要求传送数据。</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第四十条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开办机构在</w:t>
      </w:r>
      <w:r>
        <w:rPr>
          <w:rFonts w:ascii="仿宋" w:eastAsia="仿宋" w:hAnsi="仿宋" w:cs="仿宋" w:hint="eastAsia"/>
          <w:sz w:val="32"/>
          <w:szCs w:val="32"/>
          <w:lang w:bidi="ar"/>
        </w:rPr>
        <w:t>创新柜台业务（包括增加</w:t>
      </w:r>
      <w:r>
        <w:rPr>
          <w:rFonts w:ascii="仿宋" w:eastAsia="仿宋" w:hAnsi="仿宋" w:cs="Arial Unicode MS" w:hint="eastAsia"/>
          <w:kern w:val="0"/>
          <w:sz w:val="32"/>
          <w:szCs w:val="32"/>
          <w:lang w:bidi="ar"/>
        </w:rPr>
        <w:t>与上海清算所托管债券相关的</w:t>
      </w:r>
      <w:r>
        <w:rPr>
          <w:rFonts w:ascii="仿宋" w:eastAsia="仿宋" w:hAnsi="仿宋" w:cs="仿宋" w:hint="eastAsia"/>
          <w:sz w:val="32"/>
          <w:szCs w:val="32"/>
          <w:lang w:bidi="ar"/>
        </w:rPr>
        <w:t>债券品种和交易品种等）推出前或</w:t>
      </w:r>
      <w:r>
        <w:rPr>
          <w:rFonts w:ascii="仿宋" w:eastAsia="仿宋" w:hAnsi="仿宋" w:cs="Arial Unicode MS" w:hint="eastAsia"/>
          <w:kern w:val="0"/>
          <w:sz w:val="32"/>
          <w:szCs w:val="32"/>
          <w:lang w:bidi="ar"/>
        </w:rPr>
        <w:t>可能对柜台业务接口数据准确性产生影响的系统变更上线前</w:t>
      </w:r>
      <w:r>
        <w:rPr>
          <w:rFonts w:ascii="仿宋" w:eastAsia="仿宋" w:hAnsi="仿宋" w:cs="仿宋" w:hint="eastAsia"/>
          <w:sz w:val="32"/>
          <w:szCs w:val="32"/>
          <w:lang w:bidi="ar"/>
        </w:rPr>
        <w:t>，应提前告知同业拆借中心和上海清算所，并向同</w:t>
      </w:r>
      <w:r>
        <w:rPr>
          <w:rFonts w:ascii="仿宋" w:eastAsia="仿宋" w:hAnsi="仿宋" w:cs="仿宋" w:hint="eastAsia"/>
          <w:sz w:val="32"/>
          <w:szCs w:val="32"/>
          <w:lang w:bidi="ar"/>
        </w:rPr>
        <w:t>业拆借中心和上海清算所申请进行联网测试，确保系统接驳的安全、顺畅。</w:t>
      </w:r>
      <w:r>
        <w:rPr>
          <w:rFonts w:ascii="仿宋" w:eastAsia="仿宋" w:hAnsi="仿宋" w:cs="Arial Unicode MS" w:hint="eastAsia"/>
          <w:kern w:val="0"/>
          <w:sz w:val="32"/>
          <w:szCs w:val="32"/>
          <w:lang w:bidi="ar"/>
        </w:rPr>
        <w:t>开办机构应在与同业拆借中心、上海清算所联测通过后，再与同业拆借中心进行</w:t>
      </w:r>
      <w:r>
        <w:rPr>
          <w:rFonts w:ascii="仿宋" w:eastAsia="仿宋" w:hAnsi="仿宋" w:cs="仿宋" w:hint="eastAsia"/>
          <w:sz w:val="32"/>
          <w:szCs w:val="32"/>
          <w:lang w:bidi="ar"/>
        </w:rPr>
        <w:t>创新柜台业务相关或系统变更上线后的柜台业务数据交互。</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第四十一条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应按照同业拆借中心接口规范的时点要求向其传送数据。同业拆借中心按照与上海清算所约定的数据传输规范时点要求传送上海清算所数据，如遇数据传送异常情况，按照双方制定的技术规范或应急机制进行相应处理。</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第四十二条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因操作不当或管理不善，造成业务相关各类数据在保存、传输等过程中发生损失或泄露的，由责任一方承担法</w:t>
      </w:r>
      <w:r>
        <w:rPr>
          <w:rFonts w:ascii="仿宋" w:eastAsia="仿宋" w:hAnsi="仿宋" w:cs="Arial Unicode MS" w:hint="eastAsia"/>
          <w:kern w:val="0"/>
          <w:sz w:val="32"/>
          <w:szCs w:val="32"/>
          <w:lang w:bidi="ar"/>
        </w:rPr>
        <w:t>律责任。</w:t>
      </w:r>
    </w:p>
    <w:p w:rsidR="00FB1EED" w:rsidRDefault="00412CCB">
      <w:pPr>
        <w:adjustRightInd w:val="0"/>
        <w:snapToGrid w:val="0"/>
        <w:spacing w:line="580" w:lineRule="exact"/>
        <w:jc w:val="center"/>
        <w:rPr>
          <w:rFonts w:ascii="黑体" w:eastAsia="黑体" w:hAnsi="宋体" w:cs="黑体"/>
          <w:sz w:val="32"/>
          <w:szCs w:val="32"/>
        </w:rPr>
      </w:pPr>
      <w:r>
        <w:rPr>
          <w:rFonts w:ascii="黑体" w:eastAsia="黑体" w:hAnsi="宋体" w:cs="黑体" w:hint="eastAsia"/>
          <w:sz w:val="32"/>
          <w:szCs w:val="32"/>
          <w:lang w:bidi="ar"/>
        </w:rPr>
        <w:t>第八章　附则</w:t>
      </w:r>
    </w:p>
    <w:p w:rsidR="00FB1EED" w:rsidRDefault="00412CCB">
      <w:pPr>
        <w:adjustRightInd w:val="0"/>
        <w:snapToGrid w:val="0"/>
        <w:spacing w:line="580" w:lineRule="exact"/>
        <w:ind w:firstLineChars="200" w:firstLine="640"/>
        <w:rPr>
          <w:rFonts w:ascii="仿宋" w:eastAsia="仿宋" w:hAnsi="仿宋" w:cs="仿宋"/>
          <w:bCs/>
          <w:sz w:val="32"/>
          <w:szCs w:val="32"/>
        </w:rPr>
      </w:pPr>
      <w:r>
        <w:rPr>
          <w:rFonts w:ascii="仿宋" w:eastAsia="仿宋" w:hAnsi="仿宋" w:cs="Arial Unicode MS" w:hint="eastAsia"/>
          <w:kern w:val="0"/>
          <w:sz w:val="32"/>
          <w:szCs w:val="32"/>
          <w:lang w:bidi="ar"/>
        </w:rPr>
        <w:t>第四十三条</w:t>
      </w:r>
      <w:r>
        <w:rPr>
          <w:rFonts w:ascii="仿宋" w:eastAsia="仿宋" w:hAnsi="仿宋" w:cs="Arial Unicode MS" w:hint="eastAsia"/>
          <w:kern w:val="0"/>
          <w:sz w:val="32"/>
          <w:szCs w:val="32"/>
          <w:lang w:bidi="ar"/>
        </w:rPr>
        <w:t xml:space="preserve"> </w:t>
      </w:r>
      <w:r>
        <w:rPr>
          <w:rFonts w:ascii="仿宋" w:eastAsia="仿宋" w:hAnsi="仿宋" w:cs="仿宋" w:hint="eastAsia"/>
          <w:sz w:val="32"/>
          <w:szCs w:val="32"/>
          <w:lang w:bidi="ar"/>
        </w:rPr>
        <w:t>柜台业务收费标准和收费方式</w:t>
      </w:r>
      <w:r>
        <w:rPr>
          <w:rFonts w:ascii="仿宋" w:eastAsia="仿宋" w:hAnsi="仿宋" w:cs="仿宋" w:hint="eastAsia"/>
          <w:bCs/>
          <w:sz w:val="32"/>
          <w:szCs w:val="32"/>
          <w:lang w:bidi="ar"/>
        </w:rPr>
        <w:t>按照上海清算所有关规定执行。</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第四十四条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本文所称工作日指柜台业务工作日。柜台业务工作日根据银行间市场工作日合理确定，每年工作日历启用根据上海清算所相关通知进行。</w:t>
      </w:r>
    </w:p>
    <w:p w:rsidR="00FB1EED" w:rsidRDefault="00412CCB">
      <w:pPr>
        <w:adjustRightInd w:val="0"/>
        <w:snapToGrid w:val="0"/>
        <w:spacing w:line="580" w:lineRule="exact"/>
        <w:ind w:firstLineChars="200" w:firstLine="640"/>
        <w:rPr>
          <w:rFonts w:ascii="仿宋" w:eastAsia="仿宋" w:hAnsi="仿宋" w:cs="Arial Unicode MS"/>
          <w:kern w:val="0"/>
          <w:sz w:val="32"/>
          <w:szCs w:val="32"/>
        </w:rPr>
      </w:pPr>
      <w:r>
        <w:rPr>
          <w:rFonts w:ascii="仿宋" w:eastAsia="仿宋" w:hAnsi="仿宋" w:cs="Arial Unicode MS" w:hint="eastAsia"/>
          <w:kern w:val="0"/>
          <w:sz w:val="32"/>
          <w:szCs w:val="32"/>
          <w:lang w:bidi="ar"/>
        </w:rPr>
        <w:t>第四十五条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开办机构、上海清算所按照中国人民银行相关规定，履行与柜台业务相关的备案、报告和数据报送等义务，并接受中国人民银行的检查和监督。</w:t>
      </w:r>
    </w:p>
    <w:p w:rsidR="00FB1EED" w:rsidRPr="00EB23B5" w:rsidRDefault="00412CCB" w:rsidP="00EB23B5">
      <w:pPr>
        <w:widowControl/>
        <w:jc w:val="left"/>
        <w:rPr>
          <w:rFonts w:ascii="仿宋" w:eastAsia="仿宋" w:hAnsi="仿宋" w:cs="仿宋" w:hint="eastAsia"/>
          <w:sz w:val="32"/>
          <w:szCs w:val="32"/>
          <w:lang w:bidi="ar"/>
        </w:rPr>
      </w:pPr>
      <w:r>
        <w:rPr>
          <w:rFonts w:ascii="仿宋" w:eastAsia="仿宋" w:hAnsi="仿宋" w:cs="Arial Unicode MS"/>
          <w:kern w:val="0"/>
          <w:sz w:val="32"/>
          <w:szCs w:val="32"/>
          <w:lang w:bidi="ar"/>
        </w:rPr>
        <w:t xml:space="preserve">    </w:t>
      </w:r>
      <w:r>
        <w:rPr>
          <w:rFonts w:ascii="仿宋" w:eastAsia="仿宋" w:hAnsi="仿宋" w:cs="Arial Unicode MS" w:hint="eastAsia"/>
          <w:kern w:val="0"/>
          <w:sz w:val="32"/>
          <w:szCs w:val="32"/>
          <w:lang w:bidi="ar"/>
        </w:rPr>
        <w:t>第四十六条</w:t>
      </w:r>
      <w:r>
        <w:rPr>
          <w:rFonts w:ascii="仿宋" w:eastAsia="仿宋" w:hAnsi="仿宋" w:cs="Arial Unicode MS" w:hint="eastAsia"/>
          <w:kern w:val="0"/>
          <w:sz w:val="32"/>
          <w:szCs w:val="32"/>
          <w:lang w:bidi="ar"/>
        </w:rPr>
        <w:t xml:space="preserve"> </w:t>
      </w:r>
      <w:r>
        <w:rPr>
          <w:rFonts w:ascii="仿宋" w:eastAsia="仿宋" w:hAnsi="仿宋" w:cs="Arial Unicode MS" w:hint="eastAsia"/>
          <w:kern w:val="0"/>
          <w:sz w:val="32"/>
          <w:szCs w:val="32"/>
          <w:lang w:bidi="ar"/>
        </w:rPr>
        <w:t>本细则由上海清算所</w:t>
      </w:r>
      <w:r>
        <w:rPr>
          <w:rFonts w:ascii="仿宋" w:eastAsia="仿宋" w:hAnsi="仿宋" w:cs="仿宋" w:hint="eastAsia"/>
          <w:sz w:val="32"/>
          <w:szCs w:val="32"/>
          <w:lang w:bidi="ar"/>
        </w:rPr>
        <w:t>负责解释和修订。其他未尽事宜参照上海清算所相关规定执行。</w:t>
      </w:r>
      <w:bookmarkStart w:id="1" w:name="_GoBack"/>
      <w:bookmarkEnd w:id="0"/>
      <w:bookmarkEnd w:id="1"/>
    </w:p>
    <w:sectPr w:rsidR="00FB1EED" w:rsidRPr="00EB23B5">
      <w:headerReference w:type="even" r:id="rId8"/>
      <w:footerReference w:type="even" r:id="rId9"/>
      <w:footerReference w:type="default" r:id="rId10"/>
      <w:pgSz w:w="11906" w:h="16838"/>
      <w:pgMar w:top="2041" w:right="1474" w:bottom="1928" w:left="1587" w:header="851"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12CCB">
      <w:r>
        <w:separator/>
      </w:r>
    </w:p>
  </w:endnote>
  <w:endnote w:type="continuationSeparator" w:id="0">
    <w:p w:rsidR="00000000" w:rsidRDefault="0041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DejaVu Sans"/>
    <w:panose1 w:val="02020603050405020304"/>
    <w:charset w:val="00"/>
    <w:family w:val="roman"/>
    <w:pitch w:val="default"/>
    <w:sig w:usb0="00000000" w:usb1="00000000" w:usb2="00000009" w:usb3="00000000" w:csb0="000001FF" w:csb1="00000000"/>
  </w:font>
  <w:font w:name="汉仪中黑简">
    <w:altName w:val="Arial Unicode MS"/>
    <w:charset w:val="86"/>
    <w:family w:val="decorative"/>
    <w:pitch w:val="default"/>
    <w:sig w:usb0="00000000" w:usb1="00000000" w:usb2="00000012" w:usb3="00000000" w:csb0="00040000" w:csb1="00000000"/>
  </w:font>
  <w:font w:name="汉仪书宋一简">
    <w:altName w:val="Arial Unicode MS"/>
    <w:charset w:val="86"/>
    <w:family w:val="auto"/>
    <w:pitch w:val="default"/>
    <w:sig w:usb0="00000000" w:usb1="00000000" w:usb2="00000012" w:usb3="00000000" w:csb0="00040000" w:csb1="00000000"/>
  </w:font>
  <w:font w:name="仿宋_GB2312">
    <w:altName w:val="仿宋"/>
    <w:charset w:val="86"/>
    <w:family w:val="auto"/>
    <w:pitch w:val="default"/>
    <w:sig w:usb0="00000001" w:usb1="080E0000" w:usb2="00000000" w:usb3="00000000" w:csb0="00040000" w:csb1="00000000"/>
  </w:font>
  <w:font w:name="Beijing">
    <w:altName w:val="宋体"/>
    <w:charset w:val="86"/>
    <w:family w:val="auto"/>
    <w:pitch w:val="default"/>
    <w:sig w:usb0="00000000" w:usb1="00000000" w:usb2="0E040001"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汉仪中宋简">
    <w:altName w:val="宋体"/>
    <w:charset w:val="86"/>
    <w:family w:val="roman"/>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ED" w:rsidRDefault="00412CCB">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89635" cy="230505"/>
              <wp:effectExtent l="0" t="0" r="12065" b="10795"/>
              <wp:wrapNone/>
              <wp:docPr id="6" name="文本框 6"/>
              <wp:cNvGraphicFramePr/>
              <a:graphic xmlns:a="http://schemas.openxmlformats.org/drawingml/2006/main">
                <a:graphicData uri="http://schemas.microsoft.com/office/word/2010/wordprocessingShape">
                  <wps:wsp>
                    <wps:cNvSpPr txBox="1"/>
                    <wps:spPr>
                      <a:xfrm>
                        <a:off x="0" y="0"/>
                        <a:ext cx="889635" cy="230505"/>
                      </a:xfrm>
                      <a:prstGeom prst="rect">
                        <a:avLst/>
                      </a:prstGeom>
                      <a:noFill/>
                      <a:ln w="6350">
                        <a:noFill/>
                      </a:ln>
                    </wps:spPr>
                    <wps:txbx>
                      <w:txbxContent>
                        <w:p w:rsidR="00FB1EED" w:rsidRDefault="00412CCB">
                          <w:pPr>
                            <w:pStyle w:val="a6"/>
                            <w:ind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18.85pt;margin-top:0;width:70.0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" filled="f" stroked="f" strokeweight=".5pt">
              <v:textbox style="mso-fit-shape-to-text:t" inset="0,0,0,0">
                <w:txbxContent>
                  <w:p w:rsidR="00FB1EED" w:rsidRDefault="00412CCB">
                    <w:pPr>
                      <w:pStyle w:val="a6"/>
                      <w:ind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ED" w:rsidRDefault="00412CCB">
    <w:pPr>
      <w:pStyle w:val="a6"/>
    </w:pPr>
    <w:r>
      <w:rPr>
        <w:noProof/>
      </w:rPr>
      <mc:AlternateContent>
        <mc:Choice Requires="wps">
          <w:drawing>
            <wp:anchor distT="0" distB="0" distL="114300" distR="114300" simplePos="0" relativeHeight="251659264" behindDoc="0" locked="0" layoutInCell="1" allowOverlap="1">
              <wp:simplePos x="0" y="0"/>
              <wp:positionH relativeFrom="margin">
                <wp:posOffset>4819015</wp:posOffset>
              </wp:positionH>
              <wp:positionV relativeFrom="paragraph">
                <wp:posOffset>0</wp:posOffset>
              </wp:positionV>
              <wp:extent cx="711835" cy="230505"/>
              <wp:effectExtent l="0" t="0" r="0" b="10795"/>
              <wp:wrapNone/>
              <wp:docPr id="5" name="文本框 5"/>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w="6350">
                        <a:noFill/>
                      </a:ln>
                    </wps:spPr>
                    <wps:txbx>
                      <w:txbxContent>
                        <w:p w:rsidR="00FB1EED" w:rsidRDefault="00412CCB">
                          <w:pPr>
                            <w:pStyle w:val="a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379.45pt;margin-top:0;width:56.05pt;height:18.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" filled="f" stroked="f" strokeweight=".5pt">
              <v:textbox style="mso-fit-shape-to-text:t" inset="0,0,0,0">
                <w:txbxContent>
                  <w:p w:rsidR="00FB1EED" w:rsidRDefault="00412CCB">
                    <w:pPr>
                      <w:pStyle w:val="a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12CCB">
      <w:r>
        <w:separator/>
      </w:r>
    </w:p>
  </w:footnote>
  <w:footnote w:type="continuationSeparator" w:id="0">
    <w:p w:rsidR="00000000" w:rsidRDefault="00412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ED" w:rsidRDefault="00FB1EED">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7EF4E05"/>
    <w:multiLevelType w:val="multilevel"/>
    <w:tmpl w:val="E7EF4E05"/>
    <w:lvl w:ilvl="0">
      <w:start w:val="1"/>
      <w:numFmt w:val="decimal"/>
      <w:lvlText w:val="%1."/>
      <w:lvlJc w:val="left"/>
      <w:pPr>
        <w:ind w:left="960" w:hanging="36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19F053C4"/>
    <w:multiLevelType w:val="multilevel"/>
    <w:tmpl w:val="19F053C4"/>
    <w:lvl w:ilvl="0">
      <w:start w:val="1"/>
      <w:numFmt w:val="decimal"/>
      <w:pStyle w:val="1"/>
      <w:suff w:val="space"/>
      <w:lvlText w:val="%1. "/>
      <w:lvlJc w:val="left"/>
      <w:pPr>
        <w:ind w:left="0" w:firstLine="420"/>
      </w:pPr>
      <w:rPr>
        <w:rFonts w:hint="eastAsia"/>
      </w:rPr>
    </w:lvl>
    <w:lvl w:ilvl="1">
      <w:start w:val="1"/>
      <w:numFmt w:val="decimal"/>
      <w:pStyle w:val="2"/>
      <w:suff w:val="space"/>
      <w:lvlText w:val="%1.%2 "/>
      <w:lvlJc w:val="left"/>
      <w:pPr>
        <w:ind w:left="-420" w:firstLine="420"/>
      </w:pPr>
      <w:rPr>
        <w:rFonts w:hint="eastAsia"/>
        <w:color w:val="000000"/>
      </w:rPr>
    </w:lvl>
    <w:lvl w:ilvl="2">
      <w:start w:val="1"/>
      <w:numFmt w:val="decimal"/>
      <w:lvlText w:val="%1.%2.%3"/>
      <w:lvlJc w:val="left"/>
      <w:pPr>
        <w:tabs>
          <w:tab w:val="left" w:pos="4808"/>
        </w:tabs>
        <w:ind w:left="2495" w:hanging="567"/>
      </w:pPr>
      <w:rPr>
        <w:rFonts w:hint="eastAsia"/>
      </w:rPr>
    </w:lvl>
    <w:lvl w:ilvl="3">
      <w:start w:val="1"/>
      <w:numFmt w:val="decimal"/>
      <w:lvlText w:val="%1.%2.%3.%4"/>
      <w:lvlJc w:val="left"/>
      <w:pPr>
        <w:tabs>
          <w:tab w:val="left" w:pos="6313"/>
        </w:tabs>
        <w:ind w:left="3061" w:hanging="708"/>
      </w:pPr>
      <w:rPr>
        <w:rFonts w:hint="eastAsia"/>
      </w:rPr>
    </w:lvl>
    <w:lvl w:ilvl="4">
      <w:start w:val="1"/>
      <w:numFmt w:val="decimal"/>
      <w:lvlText w:val="%1.%2.%3.%4.%5"/>
      <w:lvlJc w:val="left"/>
      <w:pPr>
        <w:tabs>
          <w:tab w:val="left" w:pos="7818"/>
        </w:tabs>
        <w:ind w:left="3628" w:hanging="850"/>
      </w:pPr>
      <w:rPr>
        <w:rFonts w:hint="eastAsia"/>
      </w:rPr>
    </w:lvl>
    <w:lvl w:ilvl="5">
      <w:start w:val="1"/>
      <w:numFmt w:val="decimal"/>
      <w:lvlText w:val="%1.%2.%3.%4.%5.%6"/>
      <w:lvlJc w:val="left"/>
      <w:pPr>
        <w:tabs>
          <w:tab w:val="left" w:pos="9323"/>
        </w:tabs>
        <w:ind w:left="4337" w:hanging="1134"/>
      </w:pPr>
      <w:rPr>
        <w:rFonts w:hint="eastAsia"/>
      </w:rPr>
    </w:lvl>
    <w:lvl w:ilvl="6">
      <w:start w:val="1"/>
      <w:numFmt w:val="decimal"/>
      <w:lvlText w:val="%1.%2.%3.%4.%5.%6.%7"/>
      <w:lvlJc w:val="left"/>
      <w:pPr>
        <w:tabs>
          <w:tab w:val="left" w:pos="10468"/>
        </w:tabs>
        <w:ind w:left="4904" w:hanging="1276"/>
      </w:pPr>
      <w:rPr>
        <w:rFonts w:hint="eastAsia"/>
      </w:rPr>
    </w:lvl>
    <w:lvl w:ilvl="7">
      <w:start w:val="1"/>
      <w:numFmt w:val="decimal"/>
      <w:lvlText w:val="%1.%2.%3.%4.%5.%6.%7.%8"/>
      <w:lvlJc w:val="left"/>
      <w:pPr>
        <w:tabs>
          <w:tab w:val="left" w:pos="11973"/>
        </w:tabs>
        <w:ind w:left="5471" w:hanging="1418"/>
      </w:pPr>
      <w:rPr>
        <w:rFonts w:hint="eastAsia"/>
      </w:rPr>
    </w:lvl>
    <w:lvl w:ilvl="8">
      <w:start w:val="1"/>
      <w:numFmt w:val="decimal"/>
      <w:lvlText w:val="%1.%2.%3.%4.%5.%6.%7.%8.%9"/>
      <w:lvlJc w:val="left"/>
      <w:pPr>
        <w:tabs>
          <w:tab w:val="left" w:pos="13479"/>
        </w:tabs>
        <w:ind w:left="6179"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N2FiZTEyMWQ3YWU3MTQ5YWNkYmE2MTE1NTc0ZDQifQ=="/>
  </w:docVars>
  <w:rsids>
    <w:rsidRoot w:val="00827501"/>
    <w:rsid w:val="DFF732BE"/>
    <w:rsid w:val="FBFF39EE"/>
    <w:rsid w:val="00081F15"/>
    <w:rsid w:val="000C6D04"/>
    <w:rsid w:val="001D6CE3"/>
    <w:rsid w:val="001F6426"/>
    <w:rsid w:val="00257B88"/>
    <w:rsid w:val="00296AAC"/>
    <w:rsid w:val="002F3178"/>
    <w:rsid w:val="003A5CA1"/>
    <w:rsid w:val="00412CCB"/>
    <w:rsid w:val="004750A3"/>
    <w:rsid w:val="004C12E7"/>
    <w:rsid w:val="00506405"/>
    <w:rsid w:val="00602CBD"/>
    <w:rsid w:val="0061641C"/>
    <w:rsid w:val="00677B28"/>
    <w:rsid w:val="007A46FF"/>
    <w:rsid w:val="007C7DF8"/>
    <w:rsid w:val="00827501"/>
    <w:rsid w:val="009C63B3"/>
    <w:rsid w:val="00A208D6"/>
    <w:rsid w:val="00AC69E0"/>
    <w:rsid w:val="00B41CB1"/>
    <w:rsid w:val="00CF3C7A"/>
    <w:rsid w:val="00D732BF"/>
    <w:rsid w:val="00E74A62"/>
    <w:rsid w:val="00EB23B5"/>
    <w:rsid w:val="00FB1EED"/>
    <w:rsid w:val="01394A30"/>
    <w:rsid w:val="075E3FD0"/>
    <w:rsid w:val="0998513F"/>
    <w:rsid w:val="0F774FB5"/>
    <w:rsid w:val="14F65263"/>
    <w:rsid w:val="15655021"/>
    <w:rsid w:val="190D20D9"/>
    <w:rsid w:val="1A34721A"/>
    <w:rsid w:val="20FD356C"/>
    <w:rsid w:val="26CD39E1"/>
    <w:rsid w:val="2718718B"/>
    <w:rsid w:val="31CF18D8"/>
    <w:rsid w:val="3294567F"/>
    <w:rsid w:val="32FD1240"/>
    <w:rsid w:val="341502E5"/>
    <w:rsid w:val="35BE01DF"/>
    <w:rsid w:val="397F500E"/>
    <w:rsid w:val="47046B53"/>
    <w:rsid w:val="48C215B8"/>
    <w:rsid w:val="48DB4341"/>
    <w:rsid w:val="4C296AC6"/>
    <w:rsid w:val="512D7D47"/>
    <w:rsid w:val="59722351"/>
    <w:rsid w:val="5D4532E2"/>
    <w:rsid w:val="5E4D6F46"/>
    <w:rsid w:val="6C0A7EB8"/>
    <w:rsid w:val="75F5A67A"/>
    <w:rsid w:val="7A9343F5"/>
    <w:rsid w:val="7CEA3BB2"/>
    <w:rsid w:val="7EFF5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D2F9279-40EF-46BA-9895-AA41D92F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topLinePunct/>
      <w:adjustRightInd w:val="0"/>
      <w:snapToGrid w:val="0"/>
      <w:spacing w:before="120" w:after="120" w:line="480" w:lineRule="exact"/>
      <w:outlineLvl w:val="0"/>
    </w:pPr>
    <w:rPr>
      <w:rFonts w:ascii="Times" w:eastAsia="汉仪中黑简" w:hAnsi="Times"/>
      <w:bCs/>
      <w:kern w:val="44"/>
      <w:sz w:val="28"/>
      <w:szCs w:val="44"/>
    </w:rPr>
  </w:style>
  <w:style w:type="paragraph" w:styleId="2">
    <w:name w:val="heading 2"/>
    <w:basedOn w:val="a"/>
    <w:next w:val="a"/>
    <w:link w:val="2Char"/>
    <w:qFormat/>
    <w:pPr>
      <w:numPr>
        <w:ilvl w:val="1"/>
        <w:numId w:val="1"/>
      </w:numPr>
      <w:topLinePunct/>
      <w:adjustRightInd w:val="0"/>
      <w:snapToGrid w:val="0"/>
      <w:spacing w:line="480" w:lineRule="exact"/>
      <w:outlineLvl w:val="1"/>
    </w:pPr>
    <w:rPr>
      <w:rFonts w:ascii="Times" w:eastAsia="汉仪书宋一简" w:hAnsi="Times"/>
      <w:bCs/>
      <w:sz w:val="24"/>
      <w:szCs w:val="32"/>
    </w:rPr>
  </w:style>
  <w:style w:type="paragraph" w:styleId="3">
    <w:name w:val="heading 3"/>
    <w:basedOn w:val="a"/>
    <w:next w:val="a"/>
    <w:link w:val="3Char"/>
    <w:unhideWhenUsed/>
    <w:qFormat/>
    <w:pPr>
      <w:keepNext/>
      <w:keepLines/>
      <w:spacing w:before="260" w:after="260" w:line="415" w:lineRule="auto"/>
      <w:outlineLvl w:val="2"/>
    </w:pPr>
    <w:rPr>
      <w:rFonts w:ascii="Times New Roman" w:eastAsia="仿宋_GB2312" w:hAnsi="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rFonts w:ascii="Times New Roman" w:hAnsi="Times New Roman"/>
      <w:szCs w:val="24"/>
    </w:rPr>
  </w:style>
  <w:style w:type="paragraph" w:styleId="a4">
    <w:name w:val="Plain Text"/>
    <w:basedOn w:val="a"/>
    <w:link w:val="Char0"/>
    <w:qFormat/>
    <w:rPr>
      <w:rFonts w:ascii="Beijing" w:eastAsia="Beijing" w:hAnsi="Times"/>
      <w:sz w:val="24"/>
      <w:szCs w:val="20"/>
      <w:lang w:eastAsia="zh-TW"/>
    </w:rPr>
  </w:style>
  <w:style w:type="paragraph" w:styleId="a5">
    <w:name w:val="Balloon Text"/>
    <w:basedOn w:val="a"/>
    <w:link w:val="Char1"/>
    <w:uiPriority w:val="99"/>
    <w:unhideWhenUsed/>
    <w:qFormat/>
    <w:rPr>
      <w:rFonts w:ascii="Times New Roman" w:hAnsi="Times New Roman"/>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jc w:val="left"/>
    </w:pPr>
    <w:rPr>
      <w:rFonts w:ascii="Times New Roman" w:hAnsi="Times New Roman"/>
      <w:sz w:val="24"/>
      <w:szCs w:val="24"/>
    </w:rPr>
  </w:style>
  <w:style w:type="paragraph" w:styleId="a8">
    <w:name w:val="Subtitle"/>
    <w:basedOn w:val="a"/>
    <w:next w:val="a"/>
    <w:link w:val="Char4"/>
    <w:qFormat/>
    <w:pPr>
      <w:widowControl/>
      <w:spacing w:before="240" w:after="60" w:line="312" w:lineRule="auto"/>
      <w:jc w:val="center"/>
      <w:outlineLvl w:val="1"/>
    </w:pPr>
    <w:rPr>
      <w:rFonts w:ascii="Cambria" w:hAnsi="Cambria"/>
      <w:b/>
      <w:bCs/>
      <w:kern w:val="28"/>
      <w:sz w:val="32"/>
      <w:szCs w:val="32"/>
    </w:rPr>
  </w:style>
  <w:style w:type="paragraph" w:styleId="a9">
    <w:name w:val="footnote text"/>
    <w:basedOn w:val="a"/>
    <w:link w:val="Char5"/>
    <w:uiPriority w:val="99"/>
    <w:unhideWhenUsed/>
    <w:qFormat/>
    <w:pPr>
      <w:snapToGrid w:val="0"/>
      <w:jc w:val="left"/>
    </w:pPr>
    <w:rPr>
      <w:rFonts w:ascii="Times New Roman" w:hAnsi="Times New Roman"/>
      <w:sz w:val="18"/>
      <w:szCs w:val="18"/>
    </w:rPr>
  </w:style>
  <w:style w:type="paragraph" w:styleId="aa">
    <w:name w:val="Normal (Web)"/>
    <w:basedOn w:val="a"/>
    <w:uiPriority w:val="99"/>
    <w:qFormat/>
    <w:pPr>
      <w:widowControl/>
      <w:spacing w:before="100" w:after="100"/>
      <w:jc w:val="left"/>
    </w:pPr>
    <w:rPr>
      <w:rFonts w:ascii="宋体" w:eastAsia="楷体_GB2312" w:hAnsi="宋体"/>
      <w:kern w:val="0"/>
      <w:sz w:val="24"/>
      <w:szCs w:val="20"/>
    </w:rPr>
  </w:style>
  <w:style w:type="paragraph" w:styleId="ab">
    <w:name w:val="annotation subject"/>
    <w:basedOn w:val="a3"/>
    <w:next w:val="a3"/>
    <w:link w:val="Char6"/>
    <w:uiPriority w:val="99"/>
    <w:unhideWhenUsed/>
    <w:qFormat/>
    <w:rPr>
      <w:b/>
      <w:bCs/>
    </w:rPr>
  </w:style>
  <w:style w:type="character" w:styleId="ac">
    <w:name w:val="page number"/>
    <w:basedOn w:val="a0"/>
    <w:qFormat/>
    <w:rPr>
      <w:rFonts w:asciiTheme="minorHAnsi" w:eastAsiaTheme="minorEastAsia" w:hAnsiTheme="minorHAnsi" w:cstheme="minorBidi"/>
    </w:rPr>
  </w:style>
  <w:style w:type="character" w:styleId="ad">
    <w:name w:val="FollowedHyperlink"/>
    <w:basedOn w:val="a0"/>
    <w:uiPriority w:val="99"/>
    <w:unhideWhenUsed/>
    <w:qFormat/>
    <w:rPr>
      <w:rFonts w:asciiTheme="minorHAnsi" w:eastAsiaTheme="minorEastAsia" w:hAnsiTheme="minorHAnsi" w:cstheme="minorBidi"/>
      <w:color w:val="800080" w:themeColor="followedHyperlink"/>
      <w:u w:val="single"/>
    </w:rPr>
  </w:style>
  <w:style w:type="character" w:styleId="ae">
    <w:name w:val="Hyperlink"/>
    <w:uiPriority w:val="99"/>
    <w:unhideWhenUsed/>
    <w:qFormat/>
    <w:rPr>
      <w:rFonts w:asciiTheme="minorHAnsi" w:eastAsiaTheme="minorEastAsia" w:hAnsiTheme="minorHAnsi" w:cstheme="minorBidi"/>
      <w:color w:val="0000FF"/>
      <w:u w:val="single"/>
    </w:rPr>
  </w:style>
  <w:style w:type="character" w:styleId="af">
    <w:name w:val="annotation reference"/>
    <w:basedOn w:val="a0"/>
    <w:uiPriority w:val="99"/>
    <w:unhideWhenUsed/>
    <w:qFormat/>
    <w:rPr>
      <w:rFonts w:asciiTheme="minorHAnsi" w:eastAsiaTheme="minorEastAsia" w:hAnsiTheme="minorHAnsi" w:cstheme="minorBidi"/>
      <w:sz w:val="21"/>
      <w:szCs w:val="21"/>
    </w:rPr>
  </w:style>
  <w:style w:type="character" w:styleId="af0">
    <w:name w:val="footnote reference"/>
    <w:basedOn w:val="a0"/>
    <w:uiPriority w:val="99"/>
    <w:unhideWhenUsed/>
    <w:qFormat/>
    <w:rPr>
      <w:rFonts w:asciiTheme="minorHAnsi" w:eastAsiaTheme="minorEastAsia" w:hAnsiTheme="minorHAnsi" w:cstheme="minorBidi"/>
      <w:vertAlign w:val="superscript"/>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1Char">
    <w:name w:val="标题 1 Char"/>
    <w:basedOn w:val="a0"/>
    <w:link w:val="1"/>
    <w:qFormat/>
    <w:rPr>
      <w:rFonts w:ascii="Times" w:eastAsia="汉仪中黑简" w:hAnsi="Times" w:cstheme="minorBidi"/>
      <w:bCs/>
      <w:kern w:val="44"/>
      <w:sz w:val="28"/>
      <w:szCs w:val="44"/>
    </w:rPr>
  </w:style>
  <w:style w:type="character" w:customStyle="1" w:styleId="2Char">
    <w:name w:val="标题 2 Char"/>
    <w:basedOn w:val="a0"/>
    <w:link w:val="2"/>
    <w:qFormat/>
    <w:rPr>
      <w:rFonts w:ascii="Times" w:eastAsia="汉仪书宋一简" w:hAnsi="Times" w:cstheme="minorBidi"/>
      <w:bCs/>
      <w:sz w:val="24"/>
      <w:szCs w:val="32"/>
    </w:rPr>
  </w:style>
  <w:style w:type="character" w:customStyle="1" w:styleId="3Char">
    <w:name w:val="标题 3 Char"/>
    <w:basedOn w:val="a0"/>
    <w:link w:val="3"/>
    <w:semiHidden/>
    <w:qFormat/>
    <w:rPr>
      <w:rFonts w:asciiTheme="minorHAnsi" w:eastAsia="仿宋_GB2312" w:hAnsiTheme="minorHAnsi" w:cstheme="minorBidi"/>
      <w:b/>
      <w:bCs/>
      <w:kern w:val="0"/>
      <w:sz w:val="32"/>
      <w:szCs w:val="32"/>
    </w:rPr>
  </w:style>
  <w:style w:type="paragraph" w:customStyle="1" w:styleId="11">
    <w:name w:val="列出段落1"/>
    <w:basedOn w:val="a"/>
    <w:uiPriority w:val="34"/>
    <w:qFormat/>
    <w:pPr>
      <w:ind w:firstLineChars="200" w:firstLine="420"/>
    </w:pPr>
  </w:style>
  <w:style w:type="character" w:customStyle="1" w:styleId="Char4">
    <w:name w:val="副标题 Char"/>
    <w:basedOn w:val="a0"/>
    <w:link w:val="a8"/>
    <w:qFormat/>
    <w:rPr>
      <w:rFonts w:ascii="Cambria" w:eastAsiaTheme="minorEastAsia" w:hAnsi="Cambria" w:cstheme="minorBidi"/>
      <w:b/>
      <w:bCs/>
      <w:kern w:val="28"/>
      <w:sz w:val="32"/>
      <w:szCs w:val="32"/>
    </w:rPr>
  </w:style>
  <w:style w:type="character" w:customStyle="1" w:styleId="Char0">
    <w:name w:val="纯文本 Char"/>
    <w:basedOn w:val="a0"/>
    <w:link w:val="a4"/>
    <w:qFormat/>
    <w:rPr>
      <w:rFonts w:ascii="Beijing" w:eastAsia="Beijing" w:hAnsi="Times" w:cstheme="minorBidi"/>
      <w:sz w:val="24"/>
      <w:szCs w:val="20"/>
      <w:lang w:eastAsia="zh-TW"/>
    </w:rPr>
  </w:style>
  <w:style w:type="paragraph" w:customStyle="1" w:styleId="12">
    <w:name w:val="样式1"/>
    <w:basedOn w:val="a"/>
    <w:next w:val="a"/>
    <w:qFormat/>
    <w:pPr>
      <w:topLinePunct/>
      <w:adjustRightInd w:val="0"/>
      <w:snapToGrid w:val="0"/>
      <w:spacing w:line="520" w:lineRule="exact"/>
      <w:ind w:firstLine="420"/>
    </w:pPr>
    <w:rPr>
      <w:rFonts w:ascii="Times" w:eastAsia="汉仪中宋简" w:hAnsi="Times"/>
      <w:sz w:val="28"/>
      <w:szCs w:val="24"/>
    </w:rPr>
  </w:style>
  <w:style w:type="character" w:customStyle="1" w:styleId="Char1">
    <w:name w:val="批注框文本 Char"/>
    <w:basedOn w:val="a0"/>
    <w:link w:val="a5"/>
    <w:uiPriority w:val="99"/>
    <w:semiHidden/>
    <w:qFormat/>
    <w:rPr>
      <w:rFonts w:asciiTheme="minorHAnsi" w:eastAsiaTheme="minorEastAsia" w:hAnsiTheme="minorHAnsi" w:cstheme="minorBidi"/>
      <w:sz w:val="18"/>
      <w:szCs w:val="18"/>
    </w:rPr>
  </w:style>
  <w:style w:type="character" w:customStyle="1" w:styleId="Char5">
    <w:name w:val="脚注文本 Char"/>
    <w:basedOn w:val="a0"/>
    <w:link w:val="a9"/>
    <w:uiPriority w:val="99"/>
    <w:semiHidden/>
    <w:qFormat/>
    <w:rPr>
      <w:rFonts w:asciiTheme="minorHAnsi" w:eastAsiaTheme="minorEastAsia" w:hAnsiTheme="minorHAnsi" w:cstheme="minorBidi"/>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rPr>
  </w:style>
  <w:style w:type="character" w:customStyle="1" w:styleId="Char6">
    <w:name w:val="批注主题 Char"/>
    <w:basedOn w:val="Char"/>
    <w:link w:val="ab"/>
    <w:uiPriority w:val="99"/>
    <w:semiHidden/>
    <w:qFormat/>
    <w:rPr>
      <w:rFonts w:asciiTheme="minorHAnsi" w:eastAsiaTheme="minorEastAsia" w:hAnsiTheme="minorHAnsi" w:cstheme="minorBidi"/>
      <w:b/>
      <w:bCs/>
    </w:rPr>
  </w:style>
  <w:style w:type="paragraph" w:customStyle="1" w:styleId="13">
    <w:name w:val="修订1"/>
    <w:hidden/>
    <w:uiPriority w:val="99"/>
    <w:semiHidden/>
    <w:qFormat/>
    <w:rPr>
      <w:rFonts w:ascii="Times New Roman" w:hAnsi="Times New Roman"/>
      <w:kern w:val="2"/>
      <w:sz w:val="21"/>
      <w:szCs w:val="24"/>
    </w:rPr>
  </w:style>
  <w:style w:type="paragraph" w:customStyle="1" w:styleId="20">
    <w:name w:val="修订2"/>
    <w:hidden/>
    <w:uiPriority w:val="99"/>
    <w:semiHidden/>
    <w:qFormat/>
    <w:rPr>
      <w:rFonts w:ascii="Times New Roman" w:hAnsi="Times New Roman"/>
      <w:kern w:val="2"/>
      <w:sz w:val="21"/>
      <w:szCs w:val="24"/>
    </w:rPr>
  </w:style>
  <w:style w:type="paragraph" w:styleId="af1">
    <w:name w:val="List Paragraph"/>
    <w:basedOn w:val="a"/>
    <w:uiPriority w:val="34"/>
    <w:qFormat/>
    <w:pPr>
      <w:ind w:firstLineChars="200" w:firstLine="420"/>
    </w:pPr>
  </w:style>
  <w:style w:type="character" w:customStyle="1" w:styleId="apple-converted-space">
    <w:name w:val="apple-converted-space"/>
    <w:basedOn w:val="a0"/>
    <w:qFormat/>
    <w:rPr>
      <w:rFonts w:asciiTheme="minorHAnsi" w:eastAsiaTheme="minorEastAsia" w:hAnsiTheme="minorHAnsi" w:cstheme="minorBidi"/>
    </w:rPr>
  </w:style>
  <w:style w:type="paragraph" w:customStyle="1" w:styleId="30">
    <w:name w:val="修订3"/>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1239</Words>
  <Characters>7068</Characters>
  <Application>Microsoft Office Word</Application>
  <DocSecurity>0</DocSecurity>
  <Lines>58</Lines>
  <Paragraphs>16</Paragraphs>
  <ScaleCrop>false</ScaleCrop>
  <Company>chinabond</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王洋</cp:lastModifiedBy>
  <cp:revision>2</cp:revision>
  <cp:lastPrinted>2021-05-21T04:14:00Z</cp:lastPrinted>
  <dcterms:created xsi:type="dcterms:W3CDTF">2025-04-25T09:09:00Z</dcterms:created>
  <dcterms:modified xsi:type="dcterms:W3CDTF">2025-04-25T09:09:00Z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60D1450DE75F4D7185D1ED1EAB068ACF</vt:lpwstr>
  </property>
</Properties>
</file>