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colors7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charts/style7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D9588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5DB857CA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57999F92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6C4D0BEC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4D69CC45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12AE5DB6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sz w:val="44"/>
          <w:szCs w:val="44"/>
          <w:lang w:bidi="ar"/>
        </w:rPr>
        <w:t>上海清算所债券业务运行分析</w:t>
      </w:r>
    </w:p>
    <w:p w14:paraId="5E79514B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sz w:val="44"/>
          <w:szCs w:val="44"/>
          <w:lang w:bidi="ar"/>
        </w:rPr>
        <w:t>（</w:t>
      </w:r>
      <w:r>
        <w:rPr>
          <w:rFonts w:ascii="宋体" w:hAnsi="宋体" w:eastAsia="宋体" w:cs="宋体"/>
          <w:b/>
          <w:sz w:val="44"/>
          <w:szCs w:val="44"/>
          <w:lang w:bidi="ar"/>
        </w:rPr>
        <w:t>202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 w:bidi="ar"/>
        </w:rPr>
        <w:t>6</w:t>
      </w:r>
      <w:r>
        <w:rPr>
          <w:rFonts w:ascii="宋体" w:hAnsi="宋体" w:eastAsia="宋体" w:cs="宋体"/>
          <w:b/>
          <w:sz w:val="44"/>
          <w:szCs w:val="44"/>
          <w:lang w:bidi="ar"/>
        </w:rPr>
        <w:t>年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 w:bidi="ar"/>
        </w:rPr>
        <w:t>6</w:t>
      </w:r>
      <w:r>
        <w:rPr>
          <w:rFonts w:ascii="宋体" w:hAnsi="宋体" w:eastAsia="宋体" w:cs="宋体"/>
          <w:b/>
          <w:sz w:val="44"/>
          <w:szCs w:val="44"/>
          <w:lang w:bidi="ar"/>
        </w:rPr>
        <w:t>月</w:t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）</w:t>
      </w:r>
    </w:p>
    <w:p w14:paraId="06985D57"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lang w:bidi="ar"/>
        </w:rPr>
      </w:pPr>
    </w:p>
    <w:p w14:paraId="51949DDC">
      <w:pPr>
        <w:spacing w:before="240" w:after="120" w:line="580" w:lineRule="exact"/>
        <w:jc w:val="center"/>
        <w:outlineLvl w:val="0"/>
        <w:rPr>
          <w:rFonts w:ascii="仿宋" w:hAnsi="仿宋" w:eastAsia="仿宋" w:cs="Times New Roman"/>
          <w:b/>
          <w:bCs/>
          <w:kern w:val="44"/>
          <w:sz w:val="32"/>
          <w:szCs w:val="30"/>
        </w:rPr>
      </w:pPr>
      <w:r>
        <w:rPr>
          <w:rFonts w:hint="eastAsia" w:ascii="仿宋" w:hAnsi="仿宋" w:eastAsia="仿宋" w:cs="Times New Roman"/>
          <w:b/>
          <w:bCs/>
          <w:kern w:val="44"/>
          <w:sz w:val="32"/>
          <w:szCs w:val="30"/>
        </w:rPr>
        <w:t>摘</w:t>
      </w:r>
      <w:r>
        <w:rPr>
          <w:rFonts w:ascii="仿宋" w:hAnsi="仿宋" w:eastAsia="仿宋" w:cs="Times New Roman"/>
          <w:b/>
          <w:bCs/>
          <w:kern w:val="44"/>
          <w:sz w:val="32"/>
          <w:szCs w:val="30"/>
        </w:rPr>
        <w:t xml:space="preserve">  </w:t>
      </w:r>
      <w:r>
        <w:rPr>
          <w:rFonts w:hint="eastAsia" w:ascii="仿宋" w:hAnsi="仿宋" w:eastAsia="仿宋" w:cs="Times New Roman"/>
          <w:b/>
          <w:bCs/>
          <w:kern w:val="44"/>
          <w:sz w:val="32"/>
          <w:szCs w:val="30"/>
        </w:rPr>
        <w:t>要</w:t>
      </w:r>
    </w:p>
    <w:p w14:paraId="660B2DC4">
      <w:pPr>
        <w:pStyle w:val="25"/>
        <w:numPr>
          <w:ilvl w:val="0"/>
          <w:numId w:val="1"/>
        </w:numPr>
        <w:adjustRightInd w:val="0"/>
        <w:spacing w:line="580" w:lineRule="exact"/>
        <w:ind w:left="0" w:firstLine="0" w:firstLineChars="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 xml:space="preserve"> 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0"/>
        </w:rPr>
        <w:t>月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仿宋"/>
          <w:sz w:val="32"/>
          <w:szCs w:val="24"/>
        </w:rPr>
        <w:t>上海清算所服务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各类企业</w:t>
      </w:r>
      <w:r>
        <w:rPr>
          <w:rFonts w:hint="eastAsia" w:ascii="仿宋" w:hAnsi="仿宋" w:eastAsia="仿宋" w:cs="仿宋"/>
          <w:sz w:val="32"/>
          <w:szCs w:val="24"/>
        </w:rPr>
        <w:t>发行登记债券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2992</w:t>
      </w:r>
      <w:r>
        <w:rPr>
          <w:rFonts w:hint="eastAsia" w:ascii="仿宋" w:hAnsi="仿宋" w:eastAsia="仿宋" w:cs="仿宋"/>
          <w:sz w:val="32"/>
          <w:szCs w:val="24"/>
        </w:rPr>
        <w:t>只，发行规模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5.5</w:t>
      </w:r>
      <w:r>
        <w:rPr>
          <w:rFonts w:hint="eastAsia" w:ascii="仿宋" w:hAnsi="仿宋" w:eastAsia="仿宋" w:cs="仿宋"/>
          <w:sz w:val="32"/>
          <w:szCs w:val="24"/>
        </w:rPr>
        <w:t>万亿元</w:t>
      </w:r>
      <w:r>
        <w:rPr>
          <w:rStyle w:val="20"/>
          <w:rFonts w:ascii="仿宋" w:hAnsi="仿宋" w:eastAsia="仿宋" w:cs="Times New Roman"/>
          <w:sz w:val="32"/>
          <w:szCs w:val="30"/>
        </w:rPr>
        <w:footnoteReference w:id="0"/>
      </w:r>
      <w:r>
        <w:rPr>
          <w:rFonts w:hint="eastAsia" w:ascii="仿宋" w:hAnsi="仿宋" w:eastAsia="仿宋" w:cs="仿宋"/>
          <w:sz w:val="32"/>
          <w:szCs w:val="24"/>
        </w:rPr>
        <w:t>。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上半年</w:t>
      </w:r>
      <w:r>
        <w:rPr>
          <w:rFonts w:hint="eastAsia" w:ascii="仿宋" w:hAnsi="仿宋" w:eastAsia="仿宋" w:cs="仿宋"/>
          <w:sz w:val="32"/>
          <w:szCs w:val="24"/>
        </w:rPr>
        <w:t>，服务发行登记债券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1.5万</w:t>
      </w:r>
      <w:r>
        <w:rPr>
          <w:rFonts w:hint="eastAsia" w:ascii="仿宋" w:hAnsi="仿宋" w:eastAsia="仿宋" w:cs="仿宋"/>
          <w:sz w:val="32"/>
          <w:szCs w:val="24"/>
        </w:rPr>
        <w:t>只，发行规模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23.1</w:t>
      </w:r>
      <w:r>
        <w:rPr>
          <w:rFonts w:hint="eastAsia" w:ascii="仿宋" w:hAnsi="仿宋" w:eastAsia="仿宋" w:cs="仿宋"/>
          <w:sz w:val="32"/>
          <w:szCs w:val="24"/>
        </w:rPr>
        <w:t>万亿元，同比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24"/>
        </w:rPr>
        <w:t>%。</w:t>
      </w:r>
    </w:p>
    <w:p w14:paraId="386C1539">
      <w:pPr>
        <w:pStyle w:val="25"/>
        <w:numPr>
          <w:ilvl w:val="0"/>
          <w:numId w:val="1"/>
        </w:numPr>
        <w:adjustRightInd w:val="0"/>
        <w:spacing w:line="580" w:lineRule="exact"/>
        <w:ind w:left="0" w:firstLine="0" w:firstLineChars="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 xml:space="preserve"> 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0"/>
        </w:rPr>
        <w:t>月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hint="eastAsia" w:ascii="仿宋" w:hAnsi="仿宋" w:eastAsia="仿宋" w:cs="仿宋"/>
          <w:sz w:val="32"/>
          <w:szCs w:val="24"/>
        </w:rPr>
        <w:t>服务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各类企业</w:t>
      </w:r>
      <w:r>
        <w:rPr>
          <w:rFonts w:hint="eastAsia" w:ascii="仿宋" w:hAnsi="仿宋" w:eastAsia="仿宋" w:cs="仿宋"/>
          <w:sz w:val="32"/>
          <w:szCs w:val="24"/>
        </w:rPr>
        <w:t>兑付债券本金</w:t>
      </w:r>
      <w:r>
        <w:rPr>
          <w:rFonts w:ascii="仿宋" w:hAnsi="仿宋" w:eastAsia="仿宋" w:cs="仿宋"/>
          <w:sz w:val="32"/>
          <w:szCs w:val="24"/>
        </w:rPr>
        <w:t>4.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24"/>
        </w:rPr>
        <w:t>万亿元。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上半年</w:t>
      </w:r>
      <w:r>
        <w:rPr>
          <w:rFonts w:hint="eastAsia" w:ascii="仿宋" w:hAnsi="仿宋" w:eastAsia="仿宋" w:cs="仿宋"/>
          <w:sz w:val="32"/>
          <w:szCs w:val="24"/>
        </w:rPr>
        <w:t>，服务兑付债券本金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21.1</w:t>
      </w:r>
      <w:r>
        <w:rPr>
          <w:rFonts w:hint="eastAsia" w:ascii="仿宋" w:hAnsi="仿宋" w:eastAsia="仿宋" w:cs="仿宋"/>
          <w:sz w:val="32"/>
          <w:szCs w:val="24"/>
        </w:rPr>
        <w:t>万亿元，同比增长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24"/>
        </w:rPr>
        <w:t>%。</w:t>
      </w:r>
    </w:p>
    <w:p w14:paraId="6AE3D178">
      <w:pPr>
        <w:pStyle w:val="25"/>
        <w:numPr>
          <w:ilvl w:val="0"/>
          <w:numId w:val="1"/>
        </w:numPr>
        <w:adjustRightInd w:val="0"/>
        <w:spacing w:line="580" w:lineRule="exact"/>
        <w:ind w:left="0" w:firstLine="0" w:firstLineChars="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 xml:space="preserve"> 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0"/>
        </w:rPr>
        <w:t>月</w:t>
      </w:r>
      <w:r>
        <w:rPr>
          <w:rFonts w:hint="eastAsia" w:ascii="仿宋" w:hAnsi="仿宋" w:eastAsia="仿宋" w:cs="Times New Roman"/>
          <w:sz w:val="32"/>
          <w:szCs w:val="30"/>
        </w:rPr>
        <w:t>，清算债券交易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42.2</w:t>
      </w:r>
      <w:r>
        <w:rPr>
          <w:rFonts w:ascii="仿宋" w:hAnsi="仿宋" w:eastAsia="仿宋" w:cs="Times New Roman"/>
          <w:sz w:val="32"/>
          <w:szCs w:val="30"/>
        </w:rPr>
        <w:t>万</w:t>
      </w:r>
      <w:r>
        <w:rPr>
          <w:rFonts w:hint="eastAsia" w:ascii="仿宋" w:hAnsi="仿宋" w:eastAsia="仿宋" w:cs="Times New Roman"/>
          <w:sz w:val="32"/>
          <w:szCs w:val="30"/>
        </w:rPr>
        <w:t>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51.6</w:t>
      </w:r>
      <w:r>
        <w:rPr>
          <w:rFonts w:hint="eastAsia" w:ascii="仿宋" w:hAnsi="仿宋" w:eastAsia="仿宋" w:cs="Times New Roman"/>
          <w:sz w:val="32"/>
          <w:szCs w:val="30"/>
        </w:rPr>
        <w:t>万亿元</w:t>
      </w:r>
      <w:r>
        <w:rPr>
          <w:rStyle w:val="20"/>
          <w:rFonts w:ascii="仿宋" w:hAnsi="仿宋" w:eastAsia="仿宋"/>
          <w:sz w:val="32"/>
          <w:szCs w:val="30"/>
        </w:rPr>
        <w:footnoteReference w:id="1"/>
      </w:r>
      <w:r>
        <w:rPr>
          <w:rFonts w:hint="eastAsia" w:ascii="仿宋" w:hAnsi="仿宋" w:eastAsia="仿宋" w:cs="Times New Roman"/>
          <w:sz w:val="32"/>
          <w:szCs w:val="30"/>
        </w:rPr>
        <w:t>。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上半年</w:t>
      </w:r>
      <w:r>
        <w:rPr>
          <w:rFonts w:hint="eastAsia" w:ascii="仿宋" w:hAnsi="仿宋" w:eastAsia="仿宋" w:cs="Times New Roman"/>
          <w:sz w:val="32"/>
          <w:szCs w:val="30"/>
        </w:rPr>
        <w:t>，</w:t>
      </w:r>
      <w:r>
        <w:rPr>
          <w:rFonts w:ascii="仿宋" w:hAnsi="仿宋" w:eastAsia="仿宋" w:cs="Times New Roman"/>
          <w:sz w:val="32"/>
          <w:szCs w:val="30"/>
        </w:rPr>
        <w:t>清算</w:t>
      </w:r>
      <w:r>
        <w:rPr>
          <w:rFonts w:hint="eastAsia" w:ascii="仿宋" w:hAnsi="仿宋" w:eastAsia="仿宋" w:cs="Times New Roman"/>
          <w:sz w:val="32"/>
          <w:szCs w:val="30"/>
        </w:rPr>
        <w:t>债券交易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237.8</w:t>
      </w:r>
      <w:r>
        <w:rPr>
          <w:rFonts w:hint="eastAsia" w:ascii="仿宋" w:hAnsi="仿宋" w:eastAsia="仿宋" w:cs="Times New Roman"/>
          <w:sz w:val="32"/>
          <w:szCs w:val="30"/>
        </w:rPr>
        <w:t>万笔，清算面额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340.1</w:t>
      </w:r>
      <w:r>
        <w:rPr>
          <w:rFonts w:hint="eastAsia" w:ascii="仿宋" w:hAnsi="仿宋" w:eastAsia="仿宋" w:cs="Times New Roman"/>
          <w:sz w:val="32"/>
          <w:szCs w:val="30"/>
        </w:rPr>
        <w:t>万亿元</w:t>
      </w:r>
      <w:r>
        <w:rPr>
          <w:rFonts w:hint="eastAsia" w:ascii="仿宋" w:hAnsi="仿宋" w:eastAsia="仿宋" w:cs="仿宋"/>
          <w:sz w:val="32"/>
          <w:szCs w:val="24"/>
        </w:rPr>
        <w:t>，同比增长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31</w:t>
      </w:r>
      <w:r>
        <w:rPr>
          <w:rFonts w:ascii="仿宋" w:hAnsi="仿宋" w:eastAsia="仿宋" w:cs="仿宋"/>
          <w:sz w:val="32"/>
          <w:szCs w:val="24"/>
        </w:rPr>
        <w:t>%</w:t>
      </w:r>
      <w:r>
        <w:rPr>
          <w:rFonts w:hint="eastAsia" w:ascii="仿宋" w:hAnsi="仿宋" w:eastAsia="仿宋" w:cs="Times New Roman"/>
          <w:sz w:val="32"/>
          <w:szCs w:val="30"/>
        </w:rPr>
        <w:t>。</w:t>
      </w:r>
    </w:p>
    <w:p w14:paraId="64D17D2E">
      <w:pPr>
        <w:pStyle w:val="25"/>
        <w:numPr>
          <w:ilvl w:val="0"/>
          <w:numId w:val="1"/>
        </w:numPr>
        <w:adjustRightInd w:val="0"/>
        <w:spacing w:line="580" w:lineRule="exact"/>
        <w:ind w:left="0" w:firstLine="0" w:firstLineChars="0"/>
        <w:rPr>
          <w:rFonts w:ascii="仿宋" w:hAnsi="仿宋" w:eastAsia="仿宋" w:cs="Times New Roman"/>
          <w:sz w:val="32"/>
          <w:szCs w:val="30"/>
        </w:rPr>
      </w:pPr>
      <w:r>
        <w:rPr>
          <w:rFonts w:ascii="仿宋" w:hAnsi="仿宋" w:eastAsia="仿宋" w:cs="Times New Roman"/>
          <w:sz w:val="32"/>
          <w:szCs w:val="30"/>
        </w:rPr>
        <w:t xml:space="preserve"> </w:t>
      </w: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末，上海清算所共托管债券</w:t>
      </w:r>
      <w:r>
        <w:rPr>
          <w:rFonts w:ascii="仿宋" w:hAnsi="仿宋" w:eastAsia="仿宋" w:cs="仿宋"/>
          <w:sz w:val="32"/>
          <w:szCs w:val="24"/>
        </w:rPr>
        <w:t>3.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0"/>
        </w:rPr>
        <w:t>万只，托管</w:t>
      </w:r>
      <w:r>
        <w:rPr>
          <w:rFonts w:hint="eastAsia" w:ascii="仿宋" w:hAnsi="仿宋" w:eastAsia="仿宋" w:cs="Times New Roman"/>
          <w:sz w:val="32"/>
          <w:szCs w:val="30"/>
        </w:rPr>
        <w:t>余额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52.1</w:t>
      </w:r>
      <w:r>
        <w:rPr>
          <w:rFonts w:hint="eastAsia" w:ascii="仿宋" w:hAnsi="仿宋" w:eastAsia="仿宋" w:cs="Times New Roman"/>
          <w:sz w:val="32"/>
          <w:szCs w:val="30"/>
        </w:rPr>
        <w:t>万亿元，</w:t>
      </w:r>
      <w:r>
        <w:rPr>
          <w:rFonts w:hint="eastAsia" w:ascii="仿宋" w:hAnsi="仿宋" w:eastAsia="仿宋" w:cs="仿宋"/>
          <w:sz w:val="32"/>
          <w:szCs w:val="24"/>
        </w:rPr>
        <w:t>同比增长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8</w:t>
      </w:r>
      <w:r>
        <w:rPr>
          <w:rFonts w:ascii="仿宋" w:hAnsi="仿宋" w:eastAsia="仿宋" w:cs="Times New Roman"/>
          <w:sz w:val="32"/>
          <w:szCs w:val="30"/>
        </w:rPr>
        <w:t>%</w:t>
      </w:r>
      <w:r>
        <w:rPr>
          <w:rFonts w:hint="eastAsia" w:ascii="仿宋" w:hAnsi="仿宋" w:eastAsia="仿宋" w:cs="Times New Roman"/>
          <w:sz w:val="32"/>
          <w:szCs w:val="30"/>
        </w:rPr>
        <w:t>。持有规模最大的两类投资者为非法人类产品和存款类金融</w:t>
      </w:r>
      <w:r>
        <w:rPr>
          <w:rFonts w:ascii="仿宋" w:hAnsi="仿宋" w:eastAsia="仿宋" w:cs="Times New Roman"/>
          <w:sz w:val="32"/>
          <w:szCs w:val="30"/>
        </w:rPr>
        <w:t>机构</w:t>
      </w:r>
      <w:r>
        <w:rPr>
          <w:rFonts w:hint="eastAsia" w:ascii="仿宋" w:hAnsi="仿宋" w:eastAsia="仿宋" w:cs="Times New Roman"/>
          <w:sz w:val="32"/>
          <w:szCs w:val="30"/>
        </w:rPr>
        <w:t>，占比</w:t>
      </w:r>
      <w:r>
        <w:rPr>
          <w:rFonts w:ascii="仿宋" w:hAnsi="仿宋" w:eastAsia="仿宋" w:cs="Times New Roman"/>
          <w:sz w:val="32"/>
          <w:szCs w:val="30"/>
        </w:rPr>
        <w:t>分别为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58</w:t>
      </w:r>
      <w:r>
        <w:rPr>
          <w:rFonts w:hint="eastAsia" w:ascii="仿宋" w:hAnsi="仿宋" w:eastAsia="仿宋" w:cs="Times New Roman"/>
          <w:sz w:val="32"/>
          <w:szCs w:val="30"/>
        </w:rPr>
        <w:t>%</w:t>
      </w:r>
      <w:r>
        <w:rPr>
          <w:rFonts w:ascii="仿宋" w:hAnsi="仿宋" w:eastAsia="仿宋" w:cs="Times New Roman"/>
          <w:sz w:val="32"/>
          <w:szCs w:val="30"/>
        </w:rPr>
        <w:t>和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30.9</w:t>
      </w:r>
      <w:r>
        <w:rPr>
          <w:rFonts w:hint="eastAsia" w:ascii="仿宋" w:hAnsi="仿宋" w:eastAsia="仿宋" w:cs="Times New Roman"/>
          <w:sz w:val="32"/>
          <w:szCs w:val="30"/>
        </w:rPr>
        <w:t>%</w:t>
      </w:r>
      <w:r>
        <w:rPr>
          <w:rFonts w:ascii="仿宋" w:hAnsi="仿宋" w:eastAsia="仿宋" w:cs="仿宋"/>
          <w:sz w:val="32"/>
          <w:szCs w:val="30"/>
        </w:rPr>
        <w:t>。</w:t>
      </w:r>
    </w:p>
    <w:p w14:paraId="7E89B581">
      <w:pPr>
        <w:pStyle w:val="2"/>
        <w:adjustRightInd w:val="0"/>
        <w:snapToGrid w:val="0"/>
        <w:spacing w:before="200" w:after="0" w:line="580" w:lineRule="exact"/>
        <w:ind w:left="987" w:hanging="420"/>
        <w:rPr>
          <w:rFonts w:ascii="黑体" w:hAnsi="黑体" w:eastAsia="黑体" w:cs="Times New Roman"/>
          <w:b w:val="0"/>
          <w:bCs w:val="0"/>
          <w:sz w:val="32"/>
          <w:szCs w:val="30"/>
        </w:rPr>
      </w:pPr>
      <w:r>
        <w:rPr>
          <w:rFonts w:hint="eastAsia" w:ascii="黑体" w:hAnsi="黑体" w:eastAsia="黑体" w:cs="Times New Roman"/>
          <w:b w:val="0"/>
          <w:sz w:val="32"/>
          <w:szCs w:val="30"/>
        </w:rPr>
        <w:t>一</w:t>
      </w:r>
      <w:r>
        <w:rPr>
          <w:rFonts w:ascii="黑体" w:hAnsi="黑体" w:eastAsia="黑体" w:cs="Times New Roman"/>
          <w:b w:val="0"/>
          <w:sz w:val="32"/>
          <w:szCs w:val="30"/>
        </w:rPr>
        <w:t>、</w:t>
      </w:r>
      <w:r>
        <w:rPr>
          <w:rFonts w:hint="eastAsia" w:ascii="黑体" w:hAnsi="黑体" w:eastAsia="黑体" w:cs="Times New Roman"/>
          <w:b w:val="0"/>
          <w:sz w:val="32"/>
          <w:szCs w:val="30"/>
        </w:rPr>
        <w:t>登记</w:t>
      </w:r>
      <w:r>
        <w:rPr>
          <w:rFonts w:ascii="黑体" w:hAnsi="黑体" w:eastAsia="黑体" w:cs="Times New Roman"/>
          <w:b w:val="0"/>
          <w:sz w:val="32"/>
          <w:szCs w:val="30"/>
        </w:rPr>
        <w:t>托管</w:t>
      </w:r>
      <w:r>
        <w:rPr>
          <w:rFonts w:hint="eastAsia" w:ascii="黑体" w:hAnsi="黑体" w:eastAsia="黑体" w:cs="Times New Roman"/>
          <w:b w:val="0"/>
          <w:sz w:val="32"/>
          <w:szCs w:val="30"/>
        </w:rPr>
        <w:t>情况</w:t>
      </w:r>
    </w:p>
    <w:p w14:paraId="05389540">
      <w:pPr>
        <w:spacing w:line="580" w:lineRule="exact"/>
        <w:ind w:firstLine="640" w:firstLineChars="200"/>
        <w:outlineLvl w:val="1"/>
        <w:rPr>
          <w:rFonts w:ascii="楷体" w:hAnsi="楷体" w:eastAsia="楷体" w:cs="仿宋"/>
          <w:sz w:val="32"/>
          <w:szCs w:val="24"/>
        </w:rPr>
      </w:pPr>
      <w:r>
        <w:rPr>
          <w:rFonts w:hint="eastAsia" w:ascii="楷体" w:hAnsi="楷体" w:eastAsia="楷体" w:cs="仿宋"/>
          <w:sz w:val="32"/>
          <w:szCs w:val="24"/>
        </w:rPr>
        <w:t>（一）</w:t>
      </w:r>
      <w:bookmarkStart w:id="0" w:name="_Toc330999028"/>
      <w:bookmarkStart w:id="1" w:name="_Toc332986436"/>
      <w:bookmarkStart w:id="2" w:name="_Toc330998626"/>
      <w:bookmarkStart w:id="3" w:name="_Toc330998934"/>
      <w:bookmarkStart w:id="4" w:name="_Toc331432701"/>
      <w:bookmarkStart w:id="5" w:name="_Toc332988070"/>
      <w:bookmarkStart w:id="6" w:name="_Toc332985994"/>
      <w:bookmarkStart w:id="7" w:name="_Toc330998792"/>
      <w:bookmarkStart w:id="8" w:name="_Toc330998883"/>
      <w:bookmarkStart w:id="9" w:name="_Toc331423220"/>
      <w:bookmarkStart w:id="10" w:name="_Toc332989423"/>
      <w:r>
        <w:rPr>
          <w:rFonts w:hint="eastAsia" w:ascii="楷体" w:hAnsi="楷体" w:eastAsia="楷体" w:cs="仿宋"/>
          <w:sz w:val="32"/>
          <w:szCs w:val="24"/>
        </w:rPr>
        <w:t>发行登记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7404B200">
      <w:pPr>
        <w:spacing w:line="580" w:lineRule="exact"/>
        <w:ind w:firstLine="640" w:firstLineChars="200"/>
        <w:rPr>
          <w:rFonts w:hint="default" w:ascii="仿宋" w:hAnsi="仿宋" w:eastAsia="仿宋" w:cs="仿宋"/>
          <w:sz w:val="32"/>
          <w:szCs w:val="24"/>
          <w:lang w:val="en-US" w:eastAsia="zh-CN"/>
        </w:rPr>
      </w:pPr>
      <w:r>
        <w:rPr>
          <w:rFonts w:ascii="仿宋" w:hAnsi="仿宋" w:eastAsia="仿宋" w:cs="仿宋"/>
          <w:sz w:val="32"/>
          <w:szCs w:val="24"/>
        </w:rPr>
        <w:t>202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年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24"/>
        </w:rPr>
        <w:t>月</w:t>
      </w:r>
      <w:r>
        <w:rPr>
          <w:rFonts w:hint="eastAsia" w:ascii="仿宋" w:hAnsi="仿宋" w:eastAsia="仿宋" w:cs="仿宋"/>
          <w:sz w:val="32"/>
          <w:szCs w:val="24"/>
        </w:rPr>
        <w:t>，上海清算所服务各类企业发行登记债券2992只，发行规模5.5万亿元，同比增长14%。其中，公司信用类债券996只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</w:rPr>
        <w:t>7920.4亿元，同比下降13%；金融债券100只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</w:rPr>
        <w:t>7175.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24"/>
        </w:rPr>
        <w:t>亿元，同比增长74%；同业存单1878只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</w:rPr>
        <w:t>39578.7亿元，同比增长14%；熊猫债16只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</w:rPr>
        <w:t>270.5亿元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；其他债券2只、8.1亿元。</w:t>
      </w:r>
    </w:p>
    <w:p w14:paraId="7CAF0238">
      <w:pPr>
        <w:autoSpaceDE w:val="0"/>
        <w:spacing w:line="276" w:lineRule="auto"/>
        <w:jc w:val="center"/>
        <w:rPr>
          <w:rFonts w:ascii="仿宋" w:hAnsi="仿宋" w:eastAsia="仿宋" w:cs="仿宋"/>
          <w:sz w:val="24"/>
          <w:szCs w:val="24"/>
        </w:rPr>
      </w:pPr>
      <w:r>
        <w:drawing>
          <wp:inline distT="0" distB="0" distL="114300" distR="114300">
            <wp:extent cx="5215255" cy="2908935"/>
            <wp:effectExtent l="4445" t="4445" r="7620" b="12700"/>
            <wp:docPr id="7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3444DF7">
      <w:pPr>
        <w:autoSpaceDE w:val="0"/>
        <w:spacing w:line="360" w:lineRule="exact"/>
        <w:ind w:firstLine="398" w:firstLineChars="166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数据来源</w:t>
      </w:r>
      <w:r>
        <w:rPr>
          <w:rFonts w:hint="eastAsia" w:ascii="仿宋" w:hAnsi="仿宋" w:eastAsia="仿宋" w:cs="仿宋"/>
          <w:sz w:val="24"/>
          <w:szCs w:val="24"/>
        </w:rPr>
        <w:t>：上海</w:t>
      </w:r>
      <w:r>
        <w:rPr>
          <w:rFonts w:ascii="仿宋" w:hAnsi="仿宋" w:eastAsia="仿宋" w:cs="仿宋"/>
          <w:sz w:val="24"/>
          <w:szCs w:val="24"/>
        </w:rPr>
        <w:t>清算所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 xml:space="preserve">                                </w:t>
      </w:r>
      <w:r>
        <w:rPr>
          <w:rFonts w:hint="eastAsia" w:ascii="仿宋" w:hAnsi="仿宋" w:eastAsia="仿宋" w:cs="仿宋"/>
          <w:sz w:val="24"/>
          <w:szCs w:val="24"/>
        </w:rPr>
        <w:t>单位：</w:t>
      </w:r>
      <w:r>
        <w:rPr>
          <w:rFonts w:ascii="仿宋" w:hAnsi="仿宋" w:eastAsia="仿宋" w:cs="仿宋"/>
          <w:sz w:val="24"/>
          <w:szCs w:val="24"/>
        </w:rPr>
        <w:t>亿元</w:t>
      </w:r>
    </w:p>
    <w:p w14:paraId="22E09BB0">
      <w:pPr>
        <w:spacing w:after="120" w:line="400" w:lineRule="exact"/>
        <w:jc w:val="center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 xml:space="preserve">图1  </w:t>
      </w:r>
      <w:r>
        <w:rPr>
          <w:rFonts w:hint="eastAsia" w:ascii="仿宋" w:hAnsi="仿宋" w:eastAsia="仿宋" w:cs="仿宋"/>
          <w:sz w:val="28"/>
          <w:szCs w:val="24"/>
        </w:rPr>
        <w:t>近一年各类债券发行登记规模月度变化情况</w:t>
      </w:r>
    </w:p>
    <w:p w14:paraId="04F0D19D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202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年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上半年</w:t>
      </w:r>
      <w:r>
        <w:rPr>
          <w:rFonts w:hint="eastAsia" w:ascii="仿宋" w:hAnsi="仿宋" w:eastAsia="仿宋" w:cs="仿宋"/>
          <w:sz w:val="32"/>
          <w:szCs w:val="24"/>
        </w:rPr>
        <w:t>，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共</w:t>
      </w:r>
      <w:r>
        <w:rPr>
          <w:rFonts w:hint="eastAsia" w:ascii="仿宋" w:hAnsi="仿宋" w:eastAsia="仿宋" w:cs="仿宋"/>
          <w:sz w:val="32"/>
          <w:szCs w:val="24"/>
        </w:rPr>
        <w:t>服务发行登记债券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1.5万</w:t>
      </w:r>
      <w:r>
        <w:rPr>
          <w:rFonts w:hint="eastAsia" w:ascii="仿宋" w:hAnsi="仿宋" w:eastAsia="仿宋" w:cs="仿宋"/>
          <w:sz w:val="32"/>
          <w:szCs w:val="24"/>
        </w:rPr>
        <w:t>只，发行规模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合计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23.1</w:t>
      </w:r>
      <w:r>
        <w:rPr>
          <w:rFonts w:hint="eastAsia" w:ascii="仿宋" w:hAnsi="仿宋" w:eastAsia="仿宋" w:cs="仿宋"/>
          <w:sz w:val="32"/>
          <w:szCs w:val="24"/>
        </w:rPr>
        <w:t>万亿元，同比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24"/>
        </w:rPr>
        <w:t>%。其中，公司信用类债券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5278</w:t>
      </w:r>
      <w:r>
        <w:rPr>
          <w:rFonts w:hint="eastAsia" w:ascii="仿宋" w:hAnsi="仿宋" w:eastAsia="仿宋" w:cs="仿宋"/>
          <w:sz w:val="32"/>
          <w:szCs w:val="24"/>
        </w:rPr>
        <w:t>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4.5</w:t>
      </w:r>
      <w:r>
        <w:rPr>
          <w:rFonts w:hint="eastAsia" w:ascii="仿宋" w:hAnsi="仿宋" w:eastAsia="仿宋" w:cs="仿宋"/>
          <w:sz w:val="32"/>
          <w:szCs w:val="24"/>
        </w:rPr>
        <w:t>万亿元，同比下降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24"/>
        </w:rPr>
        <w:t>%；金融债券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389</w:t>
      </w:r>
      <w:r>
        <w:rPr>
          <w:rFonts w:hint="eastAsia" w:ascii="仿宋" w:hAnsi="仿宋" w:eastAsia="仿宋" w:cs="仿宋"/>
          <w:sz w:val="32"/>
          <w:szCs w:val="24"/>
        </w:rPr>
        <w:t>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2.2万</w:t>
      </w:r>
      <w:r>
        <w:rPr>
          <w:rFonts w:hint="eastAsia" w:ascii="仿宋" w:hAnsi="仿宋" w:eastAsia="仿宋" w:cs="仿宋"/>
          <w:sz w:val="32"/>
          <w:szCs w:val="24"/>
        </w:rPr>
        <w:t>亿元，同比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增长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24"/>
        </w:rPr>
        <w:t>%；同业存单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9593</w:t>
      </w:r>
      <w:r>
        <w:rPr>
          <w:rFonts w:hint="eastAsia" w:ascii="仿宋" w:hAnsi="仿宋" w:eastAsia="仿宋" w:cs="仿宋"/>
          <w:sz w:val="32"/>
          <w:szCs w:val="24"/>
        </w:rPr>
        <w:t>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16.3</w:t>
      </w:r>
      <w:r>
        <w:rPr>
          <w:rFonts w:hint="eastAsia" w:ascii="仿宋" w:hAnsi="仿宋" w:eastAsia="仿宋" w:cs="仿宋"/>
          <w:sz w:val="32"/>
          <w:szCs w:val="24"/>
        </w:rPr>
        <w:t>万亿元，同比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%；熊猫债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88</w:t>
      </w:r>
      <w:r>
        <w:rPr>
          <w:rFonts w:hint="eastAsia" w:ascii="仿宋" w:hAnsi="仿宋" w:eastAsia="仿宋" w:cs="仿宋"/>
          <w:sz w:val="32"/>
          <w:szCs w:val="24"/>
        </w:rPr>
        <w:t>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1597.3</w:t>
      </w:r>
      <w:r>
        <w:rPr>
          <w:rFonts w:hint="eastAsia" w:ascii="仿宋" w:hAnsi="仿宋" w:eastAsia="仿宋" w:cs="仿宋"/>
          <w:sz w:val="32"/>
          <w:szCs w:val="24"/>
        </w:rPr>
        <w:t>亿元；其他债券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24"/>
        </w:rPr>
        <w:t>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84.1</w:t>
      </w:r>
      <w:r>
        <w:rPr>
          <w:rFonts w:hint="eastAsia" w:ascii="仿宋" w:hAnsi="仿宋" w:eastAsia="仿宋" w:cs="仿宋"/>
          <w:sz w:val="32"/>
          <w:szCs w:val="24"/>
        </w:rPr>
        <w:t>亿元。</w:t>
      </w:r>
      <w:r>
        <w:rPr>
          <w:rFonts w:ascii="仿宋" w:hAnsi="仿宋" w:eastAsia="仿宋" w:cs="仿宋"/>
          <w:sz w:val="32"/>
          <w:szCs w:val="24"/>
        </w:rPr>
        <w:t xml:space="preserve"> </w:t>
      </w:r>
    </w:p>
    <w:p w14:paraId="3DF0C0B2">
      <w:pPr>
        <w:spacing w:before="120" w:after="60" w:line="360" w:lineRule="exact"/>
        <w:jc w:val="center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 xml:space="preserve">表1  </w:t>
      </w:r>
      <w:r>
        <w:rPr>
          <w:rFonts w:hint="eastAsia" w:ascii="仿宋" w:hAnsi="仿宋" w:eastAsia="仿宋" w:cs="仿宋"/>
          <w:sz w:val="28"/>
          <w:szCs w:val="24"/>
        </w:rPr>
        <w:t>各类产品登记情况</w:t>
      </w:r>
    </w:p>
    <w:tbl>
      <w:tblPr>
        <w:tblStyle w:val="14"/>
        <w:tblW w:w="569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650"/>
        <w:gridCol w:w="1015"/>
        <w:gridCol w:w="1166"/>
        <w:gridCol w:w="1021"/>
        <w:gridCol w:w="1067"/>
        <w:gridCol w:w="1226"/>
        <w:gridCol w:w="987"/>
      </w:tblGrid>
      <w:tr w14:paraId="1E80D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7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264E6778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债券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3929EE06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年</w:t>
            </w:r>
          </w:p>
          <w:p w14:paraId="4D80E5CB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发行登记数量（只）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79D1020A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年</w:t>
            </w:r>
          </w:p>
          <w:p w14:paraId="51FE4B7D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发行登记规模</w:t>
            </w:r>
          </w:p>
          <w:p w14:paraId="037CBEB2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亿元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19D99C8C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年</w:t>
            </w:r>
          </w:p>
          <w:p w14:paraId="27813E34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月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发行登记规模同比变化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14:paraId="2CEC87E5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val="en-US" w:eastAsia="zh-CN"/>
              </w:rPr>
              <w:t>6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年</w:t>
            </w:r>
          </w:p>
          <w:p w14:paraId="27D2C1C6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  <w:t>上半年发行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登记数量（只）</w:t>
            </w:r>
          </w:p>
        </w:tc>
        <w:tc>
          <w:tcPr>
            <w:tcW w:w="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14:paraId="152E971F">
            <w:pPr>
              <w:widowControl/>
              <w:spacing w:line="240" w:lineRule="exact"/>
              <w:jc w:val="center"/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val="en-US" w:eastAsia="zh-CN"/>
              </w:rPr>
              <w:t>6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年</w:t>
            </w:r>
          </w:p>
          <w:p w14:paraId="5A5370DC">
            <w:pPr>
              <w:widowControl/>
              <w:spacing w:line="240" w:lineRule="exact"/>
              <w:jc w:val="center"/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  <w:t>上半年发行</w:t>
            </w:r>
          </w:p>
          <w:p w14:paraId="657CD64D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登记规模</w:t>
            </w:r>
          </w:p>
          <w:p w14:paraId="144630A5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亿元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14:paraId="4EDA9443">
            <w:pPr>
              <w:widowControl/>
              <w:spacing w:line="240" w:lineRule="exact"/>
              <w:jc w:val="center"/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val="en-US" w:eastAsia="zh-CN"/>
              </w:rPr>
              <w:t>6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年</w:t>
            </w:r>
          </w:p>
          <w:p w14:paraId="0732F82F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  <w:t>上半年发行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登记规模同比变化</w:t>
            </w:r>
          </w:p>
        </w:tc>
      </w:tr>
      <w:tr w14:paraId="491A5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9973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公司信用类债券</w:t>
            </w: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C1440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超短期融资券（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SCP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17F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A1E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2508.8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B0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-10%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D46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1,615</w:t>
            </w:r>
          </w:p>
        </w:tc>
        <w:tc>
          <w:tcPr>
            <w:tcW w:w="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87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16,862.7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2370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+9%</w:t>
            </w:r>
          </w:p>
        </w:tc>
      </w:tr>
      <w:tr w14:paraId="1714B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09243F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9FBA4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定向债务融资工具（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PPN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2A3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2E9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495.3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8B9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916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08F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2,867.2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8F46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-3%</w:t>
            </w:r>
          </w:p>
        </w:tc>
      </w:tr>
      <w:tr w14:paraId="47088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B9482F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2C84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短期融资券（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CP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AFC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EC1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851.8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4B9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+184%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AE7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35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2,596.7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744B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+15%</w:t>
            </w:r>
          </w:p>
        </w:tc>
      </w:tr>
      <w:tr w14:paraId="20317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04368A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BB47E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资产支持票据（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ABN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E8B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91F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671.6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58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+23%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08E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7DA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2,307.4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35B1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-11%</w:t>
            </w:r>
          </w:p>
        </w:tc>
      </w:tr>
      <w:tr w14:paraId="5FCD3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5CC84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5F463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中期票据（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MTN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34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397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60A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3392.9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BA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-32%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2F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2,273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809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19,895.7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AC3F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-21%</w:t>
            </w:r>
          </w:p>
        </w:tc>
      </w:tr>
      <w:tr w14:paraId="64BF4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E36C48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15BF6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项目收益票据（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PRN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4D20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382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E2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EC7D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796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D14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632B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6ABB57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6F8AA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61E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996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43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7920.4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0CF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-13%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50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5,278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75C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44,529.8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5B8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</w:tr>
      <w:tr w14:paraId="6743A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B1618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金融债券</w:t>
            </w: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7A18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政策性银行金融债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854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C4E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1880.0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5C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F36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F7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5,960.0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02F2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+21%</w:t>
            </w:r>
          </w:p>
        </w:tc>
      </w:tr>
      <w:tr w14:paraId="2DE682E2"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01291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35245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商业银行金融债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D6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80F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4666.3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E53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+73%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6D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5E8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12,826.3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BE89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+4%</w:t>
            </w:r>
          </w:p>
        </w:tc>
      </w:tr>
      <w:tr w14:paraId="41F60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6F43D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C6CB3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证券公司短期融资券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E46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F93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469.0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1EF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+21%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88B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8D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2,631.2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DD1B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+50%</w:t>
            </w:r>
          </w:p>
        </w:tc>
      </w:tr>
      <w:tr w14:paraId="399CC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D77795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36360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  <w:lang w:bidi="ar"/>
              </w:rPr>
              <w:t>其他金融债券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CB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F64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160.0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32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+256%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67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4E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540.7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ED3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-34%</w:t>
            </w:r>
          </w:p>
        </w:tc>
      </w:tr>
      <w:tr w14:paraId="0326E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D1A60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E7988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F27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52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7175.3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32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+74%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F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8B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21,958.2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2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+11%</w:t>
            </w:r>
          </w:p>
        </w:tc>
      </w:tr>
      <w:tr w14:paraId="25027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F577F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同业存单（</w:t>
            </w:r>
            <w:r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NCD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F67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1878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842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39578.7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625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+14%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7BD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9,593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D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163,049.7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1431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-6%</w:t>
            </w:r>
          </w:p>
        </w:tc>
      </w:tr>
      <w:tr w14:paraId="6D990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49375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熊猫债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E90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8C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270.5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774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+26%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71F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093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1,597.3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1EDB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+79%</w:t>
            </w:r>
          </w:p>
        </w:tc>
      </w:tr>
      <w:tr w14:paraId="04EEC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4BBC4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资产支持证券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982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2DE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2E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AA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45D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127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3C31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1D89F">
            <w:pPr>
              <w:widowControl/>
              <w:spacing w:line="276" w:lineRule="auto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其他债券</w:t>
            </w:r>
          </w:p>
        </w:tc>
        <w:tc>
          <w:tcPr>
            <w:tcW w:w="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9F6BA">
            <w:pPr>
              <w:widowControl/>
              <w:spacing w:line="240" w:lineRule="auto"/>
              <w:ind w:right="0" w:rightChars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34416">
            <w:pPr>
              <w:widowControl/>
              <w:spacing w:line="240" w:lineRule="auto"/>
              <w:ind w:right="0" w:rightChars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</w:t>
            </w:r>
          </w:p>
        </w:tc>
        <w:tc>
          <w:tcPr>
            <w:tcW w:w="51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9F704">
            <w:pPr>
              <w:widowControl/>
              <w:spacing w:line="240" w:lineRule="auto"/>
              <w:ind w:right="0" w:rightChars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17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5EF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84.1</w:t>
            </w:r>
          </w:p>
        </w:tc>
        <w:tc>
          <w:tcPr>
            <w:tcW w:w="5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6835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+340%</w:t>
            </w:r>
          </w:p>
        </w:tc>
      </w:tr>
      <w:tr w14:paraId="1ABE0542">
        <w:trPr>
          <w:trHeight w:val="454" w:hRule="atLeast"/>
          <w:jc w:val="center"/>
        </w:trPr>
        <w:tc>
          <w:tcPr>
            <w:tcW w:w="17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noWrap/>
            <w:vAlign w:val="center"/>
          </w:tcPr>
          <w:p w14:paraId="11414E8C">
            <w:pPr>
              <w:widowControl/>
              <w:spacing w:line="276" w:lineRule="auto"/>
              <w:ind w:right="105" w:rightChars="5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债券发行登记量合计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noWrap/>
            <w:vAlign w:val="center"/>
          </w:tcPr>
          <w:p w14:paraId="4FA02B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2992 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noWrap/>
            <w:vAlign w:val="center"/>
          </w:tcPr>
          <w:p w14:paraId="48E63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54953.0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noWrap/>
            <w:vAlign w:val="center"/>
          </w:tcPr>
          <w:p w14:paraId="725B17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+14%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4D7D4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15,360</w:t>
            </w:r>
          </w:p>
        </w:tc>
        <w:tc>
          <w:tcPr>
            <w:tcW w:w="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668BD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231,219.0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bottom"/>
          </w:tcPr>
          <w:p w14:paraId="5AE3A4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-5%</w:t>
            </w:r>
          </w:p>
        </w:tc>
      </w:tr>
      <w:tr w14:paraId="190CE30E">
        <w:trPr>
          <w:trHeight w:val="1041" w:hRule="atLeast"/>
          <w:jc w:val="center"/>
        </w:trPr>
        <w:tc>
          <w:tcPr>
            <w:tcW w:w="17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52C479FC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 w:val="20"/>
                <w:szCs w:val="20"/>
              </w:rPr>
              <w:t>信用风险缓释工具（凭证类）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55D42E80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年</w:t>
            </w:r>
          </w:p>
          <w:p w14:paraId="33E0A6C2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月创设</w:t>
            </w:r>
          </w:p>
          <w:p w14:paraId="374E6C89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登记数量（只）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45005788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年</w:t>
            </w:r>
          </w:p>
          <w:p w14:paraId="44D83E4F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月创设登记规模</w:t>
            </w:r>
          </w:p>
          <w:p w14:paraId="5B5D5238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Cs/>
                <w:sz w:val="18"/>
                <w:szCs w:val="18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亿元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2C0B0C11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年</w:t>
            </w:r>
          </w:p>
          <w:p w14:paraId="631429BE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月创设登记规模</w:t>
            </w:r>
          </w:p>
          <w:p w14:paraId="6871C95D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Cs/>
                <w:sz w:val="18"/>
                <w:szCs w:val="20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同比变化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14:paraId="60750E58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年</w:t>
            </w:r>
          </w:p>
          <w:p w14:paraId="1D6087B6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  <w:t>上半年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登记数量（只）</w:t>
            </w:r>
          </w:p>
        </w:tc>
        <w:tc>
          <w:tcPr>
            <w:tcW w:w="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14:paraId="0FD10A32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年</w:t>
            </w:r>
          </w:p>
          <w:p w14:paraId="371545C1">
            <w:pPr>
              <w:widowControl/>
              <w:spacing w:line="240" w:lineRule="exact"/>
              <w:jc w:val="center"/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  <w:t>上半年</w:t>
            </w:r>
          </w:p>
          <w:p w14:paraId="4201190B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登记规模</w:t>
            </w:r>
          </w:p>
          <w:p w14:paraId="6099EC66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亿元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14:paraId="7F338422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</w:pP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202</w:t>
            </w: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val="en-US" w:eastAsia="zh-CN"/>
              </w:rPr>
              <w:t>6</w:t>
            </w:r>
            <w:r>
              <w:rPr>
                <w:rFonts w:ascii="仿宋" w:hAnsi="仿宋" w:eastAsia="仿宋" w:cstheme="majorHAnsi"/>
                <w:b/>
                <w:color w:val="000000"/>
                <w:kern w:val="0"/>
                <w:sz w:val="18"/>
                <w:szCs w:val="20"/>
              </w:rPr>
              <w:t>年</w:t>
            </w:r>
          </w:p>
          <w:p w14:paraId="2FB8F671">
            <w:pPr>
              <w:widowControl/>
              <w:spacing w:line="240" w:lineRule="exact"/>
              <w:jc w:val="center"/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20"/>
                <w:lang w:eastAsia="zh-CN"/>
              </w:rPr>
              <w:t>上半年</w:t>
            </w:r>
          </w:p>
          <w:p w14:paraId="23B71169">
            <w:pPr>
              <w:widowControl/>
              <w:spacing w:line="240" w:lineRule="exact"/>
              <w:jc w:val="center"/>
              <w:rPr>
                <w:rFonts w:ascii="仿宋" w:hAnsi="仿宋" w:eastAsia="仿宋" w:cstheme="majorHAns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ajorHAnsi"/>
                <w:b/>
                <w:color w:val="000000"/>
                <w:kern w:val="0"/>
                <w:sz w:val="18"/>
                <w:szCs w:val="18"/>
              </w:rPr>
              <w:t>登记规模同比变化</w:t>
            </w:r>
          </w:p>
        </w:tc>
      </w:tr>
      <w:tr w14:paraId="4EEA0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94205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信用风险缓释凭证（</w:t>
            </w:r>
            <w:r>
              <w:rPr>
                <w:rFonts w:ascii="仿宋" w:hAnsi="仿宋" w:eastAsia="仿宋" w:cs="仿宋"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CRMW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）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E37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015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CBC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-66%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1AF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385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35.0 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3FD9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-28%</w:t>
            </w:r>
          </w:p>
        </w:tc>
      </w:tr>
      <w:tr w14:paraId="3D590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9D34F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信用联结票据（</w:t>
            </w:r>
            <w:r>
              <w:rPr>
                <w:rFonts w:ascii="仿宋" w:hAnsi="仿宋" w:eastAsia="仿宋" w:cs="仿宋"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CLN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）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24A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263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C70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-33%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8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C50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72.7 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D3E6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+119%</w:t>
            </w:r>
          </w:p>
        </w:tc>
      </w:tr>
      <w:tr w14:paraId="5B2F2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noWrap/>
            <w:vAlign w:val="center"/>
          </w:tcPr>
          <w:p w14:paraId="7F957173"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信用风险缓释工具创设登记合计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noWrap/>
            <w:vAlign w:val="center"/>
          </w:tcPr>
          <w:p w14:paraId="730EC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noWrap/>
            <w:vAlign w:val="center"/>
          </w:tcPr>
          <w:p w14:paraId="464A1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</w:t>
            </w:r>
          </w:p>
        </w:tc>
        <w:tc>
          <w:tcPr>
            <w:tcW w:w="5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noWrap/>
            <w:vAlign w:val="center"/>
          </w:tcPr>
          <w:p w14:paraId="0ED7F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-43%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vAlign w:val="bottom"/>
          </w:tcPr>
          <w:p w14:paraId="6B9CDA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6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vAlign w:val="bottom"/>
          </w:tcPr>
          <w:p w14:paraId="31F2A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107.7 </w:t>
            </w:r>
          </w:p>
        </w:tc>
        <w:tc>
          <w:tcPr>
            <w:tcW w:w="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vAlign w:val="bottom"/>
          </w:tcPr>
          <w:p w14:paraId="4C97C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+31%</w:t>
            </w:r>
          </w:p>
        </w:tc>
      </w:tr>
    </w:tbl>
    <w:p w14:paraId="4DF201E4">
      <w:pPr>
        <w:spacing w:line="580" w:lineRule="exact"/>
        <w:ind w:firstLine="64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202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年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月，上海清算所服务创设登记信用风险缓释工具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24"/>
        </w:rPr>
        <w:t>只，名义本金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24"/>
        </w:rPr>
        <w:t>亿元。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上半年，共</w:t>
      </w:r>
      <w:r>
        <w:rPr>
          <w:rFonts w:hint="eastAsia" w:ascii="仿宋" w:hAnsi="仿宋" w:eastAsia="仿宋" w:cs="仿宋"/>
          <w:sz w:val="32"/>
          <w:szCs w:val="24"/>
        </w:rPr>
        <w:t>服务创设登记信用风险缓释工具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77</w:t>
      </w:r>
      <w:r>
        <w:rPr>
          <w:rFonts w:hint="eastAsia" w:ascii="仿宋" w:hAnsi="仿宋" w:eastAsia="仿宋" w:cs="仿宋"/>
          <w:sz w:val="32"/>
          <w:szCs w:val="24"/>
        </w:rPr>
        <w:t>只，名义本金合计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107.7</w:t>
      </w:r>
      <w:r>
        <w:rPr>
          <w:rFonts w:hint="eastAsia" w:ascii="仿宋" w:hAnsi="仿宋" w:eastAsia="仿宋" w:cs="仿宋"/>
          <w:sz w:val="32"/>
          <w:szCs w:val="24"/>
        </w:rPr>
        <w:t>亿元。其中，信用风险缓释凭证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32</w:t>
      </w:r>
      <w:r>
        <w:rPr>
          <w:rFonts w:hint="eastAsia" w:ascii="仿宋" w:hAnsi="仿宋" w:eastAsia="仿宋" w:cs="仿宋"/>
          <w:sz w:val="32"/>
          <w:szCs w:val="24"/>
        </w:rPr>
        <w:t>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</w:rPr>
        <w:t>名义本金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24"/>
        </w:rPr>
        <w:t>亿元；信用联结票据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45</w:t>
      </w:r>
      <w:r>
        <w:rPr>
          <w:rFonts w:hint="eastAsia" w:ascii="仿宋" w:hAnsi="仿宋" w:eastAsia="仿宋" w:cs="仿宋"/>
          <w:sz w:val="32"/>
          <w:szCs w:val="24"/>
        </w:rPr>
        <w:t>只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24"/>
        </w:rPr>
        <w:t>名义本金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72.7</w:t>
      </w:r>
      <w:r>
        <w:rPr>
          <w:rFonts w:hint="eastAsia" w:ascii="仿宋" w:hAnsi="仿宋" w:eastAsia="仿宋" w:cs="仿宋"/>
          <w:sz w:val="32"/>
          <w:szCs w:val="24"/>
        </w:rPr>
        <w:t>亿元。</w:t>
      </w:r>
    </w:p>
    <w:p w14:paraId="4D2A0EEA">
      <w:pPr>
        <w:spacing w:line="580" w:lineRule="exact"/>
        <w:ind w:firstLine="640" w:firstLineChars="200"/>
        <w:outlineLvl w:val="1"/>
        <w:rPr>
          <w:rFonts w:ascii="楷体" w:hAnsi="楷体" w:eastAsia="楷体" w:cs="仿宋"/>
          <w:sz w:val="32"/>
          <w:szCs w:val="24"/>
        </w:rPr>
      </w:pPr>
      <w:r>
        <w:rPr>
          <w:rFonts w:hint="eastAsia" w:ascii="楷体" w:hAnsi="楷体" w:eastAsia="楷体" w:cs="仿宋"/>
          <w:sz w:val="32"/>
          <w:szCs w:val="24"/>
        </w:rPr>
        <w:t>（二）兑付付息</w:t>
      </w:r>
    </w:p>
    <w:p w14:paraId="57409F22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24"/>
          <w:lang w:eastAsia="zh-CN"/>
        </w:rPr>
      </w:pPr>
      <w:r>
        <w:rPr>
          <w:rFonts w:ascii="仿宋" w:hAnsi="仿宋" w:eastAsia="仿宋" w:cs="仿宋"/>
          <w:sz w:val="32"/>
          <w:szCs w:val="24"/>
        </w:rPr>
        <w:t>202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年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24"/>
        </w:rPr>
        <w:t>月</w:t>
      </w:r>
      <w:r>
        <w:rPr>
          <w:rFonts w:hint="eastAsia" w:ascii="仿宋" w:hAnsi="仿宋" w:eastAsia="仿宋" w:cs="仿宋"/>
          <w:sz w:val="32"/>
          <w:szCs w:val="24"/>
        </w:rPr>
        <w:t>，上海清算所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服务</w:t>
      </w:r>
      <w:r>
        <w:rPr>
          <w:rFonts w:hint="eastAsia" w:ascii="仿宋" w:hAnsi="仿宋" w:eastAsia="仿宋" w:cs="仿宋"/>
          <w:sz w:val="32"/>
          <w:szCs w:val="24"/>
        </w:rPr>
        <w:t>兑付债券本金4.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24"/>
        </w:rPr>
        <w:t>万亿元。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上半年，共服务兑付债券本金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21.1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万亿元，同比增长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%。其中，公司信用类债券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3.5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万亿元，同比下降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%；金融债券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6350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亿元，同比增长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52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%；同业存单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16.8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万亿元，同比增长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%；熊猫债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818.1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亿元；资产支持证券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5.1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亿元。</w:t>
      </w:r>
    </w:p>
    <w:p w14:paraId="2488944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24"/>
        </w:rPr>
      </w:pPr>
      <w:r>
        <w:rPr>
          <w:rFonts w:ascii="仿宋" w:hAnsi="仿宋" w:eastAsia="仿宋" w:cs="仿宋"/>
          <w:sz w:val="32"/>
          <w:szCs w:val="24"/>
        </w:rPr>
        <w:t>202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年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6月</w:t>
      </w:r>
      <w:r>
        <w:rPr>
          <w:rFonts w:hint="eastAsia" w:ascii="仿宋" w:hAnsi="仿宋" w:eastAsia="仿宋" w:cs="仿宋"/>
          <w:sz w:val="32"/>
          <w:szCs w:val="24"/>
        </w:rPr>
        <w:t>，上海清算所服务支付债券利息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603</w:t>
      </w:r>
      <w:r>
        <w:rPr>
          <w:rFonts w:hint="eastAsia" w:ascii="仿宋" w:hAnsi="仿宋" w:eastAsia="仿宋" w:cs="仿宋"/>
          <w:sz w:val="32"/>
          <w:szCs w:val="24"/>
        </w:rPr>
        <w:t>亿元。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上半年</w:t>
      </w:r>
      <w:r>
        <w:rPr>
          <w:rFonts w:hint="eastAsia" w:ascii="仿宋" w:hAnsi="仿宋" w:eastAsia="仿宋" w:cs="仿宋"/>
          <w:sz w:val="32"/>
          <w:szCs w:val="24"/>
        </w:rPr>
        <w:t>，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共</w:t>
      </w:r>
      <w:r>
        <w:rPr>
          <w:rFonts w:hint="eastAsia" w:ascii="仿宋" w:hAnsi="仿宋" w:eastAsia="仿宋" w:cs="仿宋"/>
          <w:sz w:val="32"/>
          <w:szCs w:val="24"/>
        </w:rPr>
        <w:t>服务支付债券利息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3587.3</w:t>
      </w:r>
      <w:r>
        <w:rPr>
          <w:rFonts w:hint="eastAsia" w:ascii="仿宋" w:hAnsi="仿宋" w:eastAsia="仿宋" w:cs="仿宋"/>
          <w:sz w:val="32"/>
          <w:szCs w:val="24"/>
        </w:rPr>
        <w:t>亿元，同比增长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24"/>
        </w:rPr>
        <w:t>%。</w:t>
      </w:r>
    </w:p>
    <w:p w14:paraId="4514E364">
      <w:pPr>
        <w:spacing w:line="580" w:lineRule="exact"/>
        <w:ind w:firstLine="640" w:firstLineChars="200"/>
        <w:rPr>
          <w:rFonts w:ascii="楷体" w:hAnsi="楷体" w:eastAsia="楷体" w:cs="仿宋"/>
          <w:sz w:val="32"/>
          <w:szCs w:val="24"/>
        </w:rPr>
      </w:pPr>
      <w:r>
        <w:rPr>
          <w:rFonts w:hint="eastAsia" w:ascii="楷体" w:hAnsi="楷体" w:eastAsia="楷体" w:cs="仿宋"/>
          <w:sz w:val="32"/>
          <w:szCs w:val="24"/>
        </w:rPr>
        <w:t>（三）期末托管</w:t>
      </w:r>
    </w:p>
    <w:p w14:paraId="1EF2C7D7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截至</w:t>
      </w:r>
      <w:r>
        <w:rPr>
          <w:rFonts w:ascii="仿宋" w:hAnsi="仿宋" w:eastAsia="仿宋" w:cs="仿宋"/>
          <w:sz w:val="32"/>
          <w:szCs w:val="24"/>
        </w:rPr>
        <w:t>202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24"/>
        </w:rPr>
        <w:t>年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6月</w:t>
      </w:r>
      <w:r>
        <w:rPr>
          <w:rFonts w:ascii="仿宋" w:hAnsi="仿宋" w:eastAsia="仿宋" w:cs="仿宋"/>
          <w:sz w:val="32"/>
          <w:szCs w:val="24"/>
        </w:rPr>
        <w:t>末</w:t>
      </w:r>
      <w:r>
        <w:rPr>
          <w:rFonts w:hint="eastAsia" w:ascii="仿宋" w:hAnsi="仿宋" w:eastAsia="仿宋" w:cs="仿宋"/>
          <w:sz w:val="32"/>
          <w:szCs w:val="24"/>
        </w:rPr>
        <w:t>，上海清算所共托管债券3.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万只，托管余额合计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52.1</w:t>
      </w:r>
      <w:bookmarkStart w:id="23" w:name="_GoBack"/>
      <w:bookmarkEnd w:id="23"/>
      <w:r>
        <w:rPr>
          <w:rFonts w:hint="eastAsia" w:ascii="仿宋" w:hAnsi="仿宋" w:eastAsia="仿宋" w:cs="仿宋"/>
          <w:sz w:val="32"/>
          <w:szCs w:val="24"/>
        </w:rPr>
        <w:t>万亿元，同比增长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24"/>
        </w:rPr>
        <w:t>%。其中，公司信用类债券2.1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24"/>
        </w:rPr>
        <w:t>万只，余额18.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54</w:t>
      </w:r>
      <w:r>
        <w:rPr>
          <w:rFonts w:hint="eastAsia" w:ascii="仿宋" w:hAnsi="仿宋" w:eastAsia="仿宋" w:cs="仿宋"/>
          <w:sz w:val="32"/>
          <w:szCs w:val="24"/>
        </w:rPr>
        <w:t>万亿元，同比增长1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24"/>
        </w:rPr>
        <w:t>%；金融债券1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264</w:t>
      </w:r>
      <w:r>
        <w:rPr>
          <w:rFonts w:hint="eastAsia" w:ascii="仿宋" w:hAnsi="仿宋" w:eastAsia="仿宋" w:cs="仿宋"/>
          <w:sz w:val="32"/>
          <w:szCs w:val="24"/>
        </w:rPr>
        <w:t>只，余额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13.05</w:t>
      </w:r>
      <w:r>
        <w:rPr>
          <w:rFonts w:hint="eastAsia" w:ascii="仿宋" w:hAnsi="仿宋" w:eastAsia="仿宋" w:cs="仿宋"/>
          <w:sz w:val="32"/>
          <w:szCs w:val="24"/>
        </w:rPr>
        <w:t>万亿元，同比增长36%；同业存单1.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24"/>
        </w:rPr>
        <w:t>万只，余额1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9.15</w:t>
      </w:r>
      <w:r>
        <w:rPr>
          <w:rFonts w:hint="eastAsia" w:ascii="仿宋" w:hAnsi="仿宋" w:eastAsia="仿宋" w:cs="仿宋"/>
          <w:sz w:val="32"/>
          <w:szCs w:val="24"/>
        </w:rPr>
        <w:t>万亿元，同比下降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24"/>
        </w:rPr>
        <w:t>%；熊猫债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277</w:t>
      </w:r>
      <w:r>
        <w:rPr>
          <w:rFonts w:hint="eastAsia" w:ascii="仿宋" w:hAnsi="仿宋" w:eastAsia="仿宋" w:cs="仿宋"/>
          <w:sz w:val="32"/>
          <w:szCs w:val="24"/>
        </w:rPr>
        <w:t>只，余额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4547</w:t>
      </w:r>
      <w:r>
        <w:rPr>
          <w:rFonts w:hint="eastAsia" w:ascii="仿宋" w:hAnsi="仿宋" w:eastAsia="仿宋" w:cs="仿宋"/>
          <w:sz w:val="32"/>
          <w:szCs w:val="24"/>
        </w:rPr>
        <w:t>亿元；资产支持证券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24"/>
        </w:rPr>
        <w:t>只，余额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169.3</w:t>
      </w:r>
      <w:r>
        <w:rPr>
          <w:rFonts w:hint="eastAsia" w:ascii="仿宋" w:hAnsi="仿宋" w:eastAsia="仿宋" w:cs="仿宋"/>
          <w:sz w:val="32"/>
          <w:szCs w:val="24"/>
        </w:rPr>
        <w:t>亿元；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其他债券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1411只，余额9042亿元</w:t>
      </w:r>
      <w:r>
        <w:rPr>
          <w:rFonts w:hint="eastAsia" w:ascii="仿宋" w:hAnsi="仿宋" w:eastAsia="仿宋" w:cs="仿宋"/>
          <w:sz w:val="32"/>
          <w:szCs w:val="24"/>
        </w:rPr>
        <w:t>。</w:t>
      </w:r>
    </w:p>
    <w:p w14:paraId="423EA55C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24"/>
        </w:rPr>
      </w:pPr>
    </w:p>
    <w:p w14:paraId="09795F08">
      <w:pPr>
        <w:autoSpaceDE w:val="0"/>
        <w:spacing w:line="276" w:lineRule="auto"/>
        <w:jc w:val="center"/>
        <w:rPr>
          <w:rFonts w:ascii="仿宋" w:hAnsi="仿宋" w:eastAsia="仿宋" w:cs="仿宋"/>
          <w:sz w:val="24"/>
          <w:szCs w:val="24"/>
        </w:rPr>
      </w:pPr>
      <w:r>
        <w:drawing>
          <wp:inline distT="0" distB="0" distL="114300" distR="114300">
            <wp:extent cx="5207000" cy="2804160"/>
            <wp:effectExtent l="4445" t="4445" r="15875" b="10795"/>
            <wp:docPr id="8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E96DB36">
      <w:pPr>
        <w:autoSpaceDE w:val="0"/>
        <w:spacing w:line="300" w:lineRule="exact"/>
        <w:ind w:firstLine="480" w:firstLineChars="200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数据来源：</w:t>
      </w:r>
      <w:r>
        <w:rPr>
          <w:rFonts w:hint="eastAsia" w:ascii="仿宋" w:hAnsi="仿宋" w:eastAsia="仿宋" w:cs="仿宋"/>
          <w:sz w:val="24"/>
          <w:szCs w:val="24"/>
        </w:rPr>
        <w:t>上海</w:t>
      </w:r>
      <w:r>
        <w:rPr>
          <w:rFonts w:ascii="仿宋" w:hAnsi="仿宋" w:eastAsia="仿宋" w:cs="仿宋"/>
          <w:sz w:val="24"/>
          <w:szCs w:val="24"/>
        </w:rPr>
        <w:t>清算所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</w:t>
      </w:r>
      <w:r>
        <w:rPr>
          <w:rFonts w:ascii="仿宋" w:hAnsi="仿宋" w:eastAsia="仿宋" w:cs="仿宋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单位：</w:t>
      </w:r>
      <w:r>
        <w:rPr>
          <w:rFonts w:ascii="仿宋" w:hAnsi="仿宋" w:eastAsia="仿宋" w:cs="仿宋"/>
          <w:sz w:val="24"/>
          <w:szCs w:val="24"/>
        </w:rPr>
        <w:t>亿元</w:t>
      </w:r>
    </w:p>
    <w:p w14:paraId="166B729D">
      <w:pPr>
        <w:spacing w:line="400" w:lineRule="exact"/>
        <w:jc w:val="center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 xml:space="preserve">图2  </w:t>
      </w:r>
      <w:r>
        <w:rPr>
          <w:rFonts w:hint="eastAsia" w:ascii="仿宋" w:hAnsi="仿宋" w:eastAsia="仿宋" w:cs="仿宋"/>
          <w:sz w:val="28"/>
          <w:szCs w:val="24"/>
        </w:rPr>
        <w:t>近一年各类债券期末托管余额月度变化情况</w:t>
      </w:r>
    </w:p>
    <w:p w14:paraId="30CD37B3">
      <w:pPr>
        <w:spacing w:line="580" w:lineRule="exact"/>
        <w:jc w:val="center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>表2  202</w:t>
      </w: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4"/>
        </w:rPr>
        <w:t>年</w:t>
      </w:r>
      <w:r>
        <w:rPr>
          <w:rFonts w:hint="eastAsia" w:ascii="仿宋" w:hAnsi="仿宋" w:eastAsia="仿宋" w:cs="仿宋"/>
          <w:sz w:val="28"/>
          <w:szCs w:val="24"/>
          <w:lang w:eastAsia="zh-CN"/>
        </w:rPr>
        <w:t>上半年</w:t>
      </w:r>
      <w:r>
        <w:rPr>
          <w:rFonts w:hint="eastAsia" w:ascii="仿宋" w:hAnsi="仿宋" w:eastAsia="仿宋" w:cs="仿宋"/>
          <w:sz w:val="28"/>
          <w:szCs w:val="24"/>
        </w:rPr>
        <w:t>末各类产品托管情况一览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835"/>
        <w:gridCol w:w="1417"/>
        <w:gridCol w:w="1560"/>
        <w:gridCol w:w="1269"/>
      </w:tblGrid>
      <w:tr w14:paraId="4B5F2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4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547F9502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债券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489870C5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年</w:t>
            </w:r>
          </w:p>
          <w:p w14:paraId="64624709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  <w:lang w:eastAsia="zh-CN"/>
              </w:rPr>
              <w:t>上半年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末</w:t>
            </w:r>
          </w:p>
          <w:p w14:paraId="52304368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托管数量（只</w:t>
            </w: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696E3337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年</w:t>
            </w:r>
          </w:p>
          <w:p w14:paraId="6EEE3B54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  <w:lang w:eastAsia="zh-CN"/>
              </w:rPr>
              <w:t>上半年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末</w:t>
            </w:r>
          </w:p>
          <w:p w14:paraId="2EA34B22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托管余额</w:t>
            </w:r>
          </w:p>
          <w:p w14:paraId="08EA52A8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亿元</w:t>
            </w: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14:paraId="2B8475E7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托管余额</w:t>
            </w:r>
          </w:p>
          <w:p w14:paraId="7D5E8C79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同比变化</w:t>
            </w:r>
          </w:p>
        </w:tc>
      </w:tr>
      <w:tr w14:paraId="552A6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5CF90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公司信用类债券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DE9B9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超短期融资券（</w:t>
            </w:r>
            <w:r>
              <w:rPr>
                <w:rFonts w:ascii="仿宋" w:hAnsi="仿宋" w:eastAsia="仿宋"/>
                <w:szCs w:val="21"/>
              </w:rPr>
              <w:t>SCP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A28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1,772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6EA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16,317.0 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B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+1%</w:t>
            </w:r>
          </w:p>
        </w:tc>
      </w:tr>
      <w:tr w14:paraId="139DB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651E8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96CEE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定向债务融资工具（</w:t>
            </w:r>
            <w:r>
              <w:rPr>
                <w:rFonts w:ascii="仿宋" w:hAnsi="仿宋" w:eastAsia="仿宋"/>
                <w:szCs w:val="21"/>
              </w:rPr>
              <w:t>PPN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9DF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3,097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21B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18,931.8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D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-5%</w:t>
            </w:r>
          </w:p>
        </w:tc>
      </w:tr>
      <w:tr w14:paraId="514E6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E45C17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AA80F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短期融资券（</w:t>
            </w:r>
            <w:r>
              <w:rPr>
                <w:rFonts w:ascii="仿宋" w:hAnsi="仿宋" w:eastAsia="仿宋"/>
                <w:szCs w:val="21"/>
              </w:rPr>
              <w:t>CP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B19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575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6D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5,641.0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5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+11%</w:t>
            </w:r>
          </w:p>
        </w:tc>
      </w:tr>
      <w:tr w14:paraId="704E2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014A4A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35531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资产支持票据（</w:t>
            </w:r>
            <w:r>
              <w:rPr>
                <w:rFonts w:ascii="仿宋" w:hAnsi="仿宋" w:eastAsia="仿宋"/>
                <w:szCs w:val="21"/>
              </w:rPr>
              <w:t>ABN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06B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2,046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06A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6,811.6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2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+0.2%</w:t>
            </w:r>
          </w:p>
        </w:tc>
      </w:tr>
      <w:tr w14:paraId="515F93D9">
        <w:trPr>
          <w:trHeight w:val="397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FC28D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D5851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中期票据（</w:t>
            </w:r>
            <w:r>
              <w:rPr>
                <w:rFonts w:ascii="仿宋" w:hAnsi="仿宋" w:eastAsia="仿宋"/>
                <w:szCs w:val="21"/>
              </w:rPr>
              <w:t>MTN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EE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13,930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35E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137,671.8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5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+15%</w:t>
            </w:r>
          </w:p>
        </w:tc>
      </w:tr>
      <w:tr w14:paraId="0A940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0855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1FAF2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项目收益票据（</w:t>
            </w:r>
            <w:r>
              <w:rPr>
                <w:rFonts w:ascii="仿宋" w:hAnsi="仿宋" w:eastAsia="仿宋"/>
                <w:szCs w:val="21"/>
              </w:rPr>
              <w:t>PRN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9C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25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24.0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F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-20%</w:t>
            </w:r>
          </w:p>
        </w:tc>
      </w:tr>
      <w:tr w14:paraId="60286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BF95B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820E3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小计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19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21,424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5C6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185,397.3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E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+11%</w:t>
            </w:r>
          </w:p>
        </w:tc>
      </w:tr>
      <w:tr w14:paraId="19F81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91EE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金融债券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7F396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政策性银行金融债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17F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FA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31,434.9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3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+29%</w:t>
            </w:r>
          </w:p>
        </w:tc>
      </w:tr>
      <w:tr w14:paraId="6A3B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D4F78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66BF3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商业银行金融债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AF4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781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75D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87,206.8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B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+43%</w:t>
            </w:r>
          </w:p>
        </w:tc>
      </w:tr>
      <w:tr w14:paraId="151DEDE1">
        <w:trPr>
          <w:trHeight w:val="369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20DADC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99A12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证券公司短期融资券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3ED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DC4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3,912.2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F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+33%</w:t>
            </w:r>
          </w:p>
        </w:tc>
      </w:tr>
      <w:tr w14:paraId="7D26D29C">
        <w:trPr>
          <w:trHeight w:val="369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33E2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AC370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其他金融债券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A8A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178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1A8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7,931.4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9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+10%</w:t>
            </w:r>
          </w:p>
        </w:tc>
      </w:tr>
      <w:tr w14:paraId="134C1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B016E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72C5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小计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ACA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1,264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E1A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130,485.3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0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+36%</w:t>
            </w:r>
          </w:p>
        </w:tc>
      </w:tr>
      <w:tr w14:paraId="3668B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F9184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同业存单（</w:t>
            </w:r>
            <w:r>
              <w:rPr>
                <w:rFonts w:ascii="仿宋" w:hAnsi="仿宋" w:eastAsia="仿宋"/>
                <w:b/>
                <w:szCs w:val="21"/>
              </w:rPr>
              <w:t>NCD</w:t>
            </w:r>
            <w:r>
              <w:rPr>
                <w:rFonts w:hint="eastAsia" w:ascii="仿宋" w:hAnsi="仿宋" w:eastAsia="仿宋"/>
                <w:b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E03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11,303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6C3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191,476.9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C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-9%</w:t>
            </w:r>
          </w:p>
        </w:tc>
      </w:tr>
      <w:tr w14:paraId="2A9E8031">
        <w:trPr>
          <w:trHeight w:val="369" w:hRule="atLeast"/>
          <w:jc w:val="center"/>
        </w:trPr>
        <w:tc>
          <w:tcPr>
            <w:tcW w:w="41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CB668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熊猫债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BD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BA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4,547.0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A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+44%</w:t>
            </w:r>
          </w:p>
        </w:tc>
      </w:tr>
      <w:tr w14:paraId="323C9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405DA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资产支持证券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0F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766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169.3 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D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-6%</w:t>
            </w:r>
          </w:p>
        </w:tc>
      </w:tr>
      <w:tr w14:paraId="20E6C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0A7AC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其他债券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209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1,411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E2E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9,042.0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0D0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+66%</w:t>
            </w:r>
          </w:p>
        </w:tc>
      </w:tr>
      <w:tr w14:paraId="59660ECE">
        <w:trPr>
          <w:trHeight w:val="396" w:hRule="atLeast"/>
          <w:jc w:val="center"/>
        </w:trPr>
        <w:tc>
          <w:tcPr>
            <w:tcW w:w="4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noWrap/>
            <w:vAlign w:val="center"/>
          </w:tcPr>
          <w:p w14:paraId="46C90561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szCs w:val="21"/>
                <w:highlight w:val="yellow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债券存续期余额合计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noWrap/>
            <w:vAlign w:val="center"/>
          </w:tcPr>
          <w:p w14:paraId="5DDE3C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bCs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35,684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noWrap/>
            <w:vAlign w:val="center"/>
          </w:tcPr>
          <w:p w14:paraId="74E00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bCs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521,117.8 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vAlign w:val="center"/>
          </w:tcPr>
          <w:p w14:paraId="0355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00000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+8%</w:t>
            </w:r>
          </w:p>
        </w:tc>
      </w:tr>
      <w:tr w14:paraId="0BAB8732">
        <w:trPr>
          <w:trHeight w:val="1126" w:hRule="atLeast"/>
          <w:jc w:val="center"/>
        </w:trPr>
        <w:tc>
          <w:tcPr>
            <w:tcW w:w="4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26349471">
            <w:pPr>
              <w:widowControl/>
              <w:spacing w:line="360" w:lineRule="exact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信用风险缓释工具（凭证类）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73074C01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年</w:t>
            </w:r>
          </w:p>
          <w:p w14:paraId="4183A1C4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  <w:lang w:eastAsia="zh-CN"/>
              </w:rPr>
              <w:t>上半年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末</w:t>
            </w:r>
          </w:p>
          <w:p w14:paraId="5A023D2F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托管数量（只</w:t>
            </w: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14:paraId="6F8AACF3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年</w:t>
            </w:r>
          </w:p>
          <w:p w14:paraId="20E65FE0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  <w:lang w:eastAsia="zh-CN"/>
              </w:rPr>
              <w:t>上半年</w:t>
            </w: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末</w:t>
            </w:r>
          </w:p>
          <w:p w14:paraId="4E282C4D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名义本金</w:t>
            </w:r>
          </w:p>
          <w:p w14:paraId="33180278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  <w:t>(亿元)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14:paraId="780F7552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名义本金</w:t>
            </w:r>
          </w:p>
          <w:p w14:paraId="724959D6">
            <w:pPr>
              <w:widowControl/>
              <w:spacing w:line="240" w:lineRule="exact"/>
              <w:jc w:val="center"/>
              <w:rPr>
                <w:rFonts w:ascii="仿宋" w:hAnsi="仿宋" w:eastAsia="仿宋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kern w:val="0"/>
                <w:szCs w:val="21"/>
              </w:rPr>
              <w:t>同比变化</w:t>
            </w:r>
          </w:p>
        </w:tc>
      </w:tr>
      <w:tr w14:paraId="2C5B3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7F00F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信用风险缓释凭证（</w:t>
            </w:r>
            <w:r>
              <w:rPr>
                <w:rFonts w:ascii="仿宋" w:hAnsi="仿宋" w:eastAsia="仿宋"/>
                <w:szCs w:val="21"/>
              </w:rPr>
              <w:t>CRMW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52F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4D8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212.0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2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-40%</w:t>
            </w:r>
          </w:p>
        </w:tc>
      </w:tr>
      <w:tr w14:paraId="5155F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F372B">
            <w:pPr>
              <w:widowControl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信用联结票据（</w:t>
            </w:r>
            <w:r>
              <w:rPr>
                <w:rFonts w:ascii="仿宋" w:hAnsi="仿宋" w:eastAsia="仿宋"/>
                <w:szCs w:val="21"/>
              </w:rPr>
              <w:t>CLN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A2A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C2F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164.0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2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+64%</w:t>
            </w:r>
          </w:p>
        </w:tc>
      </w:tr>
      <w:tr w14:paraId="1D22909E">
        <w:trPr>
          <w:trHeight w:val="465" w:hRule="atLeast"/>
          <w:jc w:val="center"/>
        </w:trPr>
        <w:tc>
          <w:tcPr>
            <w:tcW w:w="4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noWrap/>
            <w:vAlign w:val="center"/>
          </w:tcPr>
          <w:p w14:paraId="115FBCB1">
            <w:pPr>
              <w:widowControl/>
              <w:jc w:val="center"/>
              <w:textAlignment w:val="center"/>
              <w:rPr>
                <w:rFonts w:ascii="仿宋" w:hAnsi="仿宋" w:eastAsia="仿宋"/>
                <w:b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auto"/>
                <w:szCs w:val="21"/>
              </w:rPr>
              <w:t>信用风险缓释工具存续期余额合计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noWrap/>
            <w:vAlign w:val="center"/>
          </w:tcPr>
          <w:p w14:paraId="7DBAED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noWrap/>
            <w:vAlign w:val="center"/>
          </w:tcPr>
          <w:p w14:paraId="3045D8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376.0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  <w:vAlign w:val="center"/>
          </w:tcPr>
          <w:p w14:paraId="58B4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-17%</w:t>
            </w:r>
          </w:p>
        </w:tc>
      </w:tr>
    </w:tbl>
    <w:p w14:paraId="14EEF93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截至202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年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6月</w:t>
      </w:r>
      <w:r>
        <w:rPr>
          <w:rFonts w:hint="eastAsia" w:ascii="仿宋" w:hAnsi="仿宋" w:eastAsia="仿宋" w:cs="仿宋"/>
          <w:sz w:val="32"/>
          <w:szCs w:val="24"/>
        </w:rPr>
        <w:t>末，上海清算所共托管信用风险缓释工具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368</w:t>
      </w:r>
      <w:r>
        <w:rPr>
          <w:rFonts w:hint="eastAsia" w:ascii="仿宋" w:hAnsi="仿宋" w:eastAsia="仿宋" w:cs="仿宋"/>
          <w:sz w:val="32"/>
          <w:szCs w:val="24"/>
        </w:rPr>
        <w:t>只，名义本金合计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376</w:t>
      </w:r>
      <w:r>
        <w:rPr>
          <w:rFonts w:hint="eastAsia" w:ascii="仿宋" w:hAnsi="仿宋" w:eastAsia="仿宋" w:cs="仿宋"/>
          <w:sz w:val="32"/>
          <w:szCs w:val="24"/>
        </w:rPr>
        <w:t>亿元。其中，信用风险缓释凭证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133</w:t>
      </w:r>
      <w:r>
        <w:rPr>
          <w:rFonts w:hint="eastAsia" w:ascii="仿宋" w:hAnsi="仿宋" w:eastAsia="仿宋" w:cs="仿宋"/>
          <w:sz w:val="32"/>
          <w:szCs w:val="24"/>
        </w:rPr>
        <w:t>只，名义本金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212</w:t>
      </w:r>
      <w:r>
        <w:rPr>
          <w:rFonts w:hint="eastAsia" w:ascii="仿宋" w:hAnsi="仿宋" w:eastAsia="仿宋" w:cs="仿宋"/>
          <w:sz w:val="32"/>
          <w:szCs w:val="24"/>
        </w:rPr>
        <w:t>亿元；信用联结票据23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24"/>
        </w:rPr>
        <w:t>只，名义本金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164</w:t>
      </w:r>
      <w:r>
        <w:rPr>
          <w:rFonts w:hint="eastAsia" w:ascii="仿宋" w:hAnsi="仿宋" w:eastAsia="仿宋" w:cs="仿宋"/>
          <w:sz w:val="32"/>
          <w:szCs w:val="24"/>
        </w:rPr>
        <w:t>亿元。</w:t>
      </w:r>
    </w:p>
    <w:p w14:paraId="2038921D">
      <w:pPr>
        <w:spacing w:line="580" w:lineRule="exact"/>
        <w:ind w:firstLine="640" w:firstLineChars="200"/>
        <w:outlineLvl w:val="1"/>
        <w:rPr>
          <w:rFonts w:ascii="楷体" w:hAnsi="楷体" w:eastAsia="楷体" w:cs="仿宋"/>
          <w:sz w:val="32"/>
          <w:szCs w:val="24"/>
        </w:rPr>
      </w:pPr>
      <w:r>
        <w:rPr>
          <w:rFonts w:hint="eastAsia" w:ascii="楷体" w:hAnsi="楷体" w:eastAsia="楷体" w:cs="仿宋"/>
          <w:sz w:val="32"/>
          <w:szCs w:val="24"/>
        </w:rPr>
        <w:t>（四）发行人</w:t>
      </w:r>
    </w:p>
    <w:p w14:paraId="23A69410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截至202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24"/>
        </w:rPr>
        <w:t>年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6月</w:t>
      </w:r>
      <w:r>
        <w:rPr>
          <w:rFonts w:hint="eastAsia" w:ascii="仿宋" w:hAnsi="仿宋" w:eastAsia="仿宋" w:cs="仿宋"/>
          <w:sz w:val="32"/>
          <w:szCs w:val="24"/>
        </w:rPr>
        <w:t>末，上海清算所累计服务债券发行人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8658</w:t>
      </w:r>
      <w:r>
        <w:rPr>
          <w:rFonts w:hint="eastAsia" w:ascii="仿宋" w:hAnsi="仿宋" w:eastAsia="仿宋" w:cs="仿宋"/>
          <w:sz w:val="32"/>
          <w:szCs w:val="24"/>
        </w:rPr>
        <w:t>户，较上年同期增加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354</w:t>
      </w:r>
      <w:r>
        <w:rPr>
          <w:rFonts w:hint="eastAsia" w:ascii="仿宋" w:hAnsi="仿宋" w:eastAsia="仿宋" w:cs="仿宋"/>
          <w:sz w:val="32"/>
          <w:szCs w:val="24"/>
        </w:rPr>
        <w:t>户，同比</w:t>
      </w:r>
      <w:r>
        <w:rPr>
          <w:rFonts w:hint="eastAsia" w:ascii="仿宋" w:hAnsi="仿宋" w:eastAsia="仿宋" w:cs="仿宋"/>
          <w:sz w:val="32"/>
          <w:szCs w:val="32"/>
        </w:rPr>
        <w:t>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24"/>
        </w:rPr>
        <w:t>。</w:t>
      </w:r>
    </w:p>
    <w:p w14:paraId="0C998624">
      <w:pPr>
        <w:pStyle w:val="2"/>
        <w:adjustRightInd w:val="0"/>
        <w:snapToGrid w:val="0"/>
        <w:spacing w:before="200" w:after="0" w:line="580" w:lineRule="exact"/>
        <w:ind w:left="987" w:hanging="420"/>
        <w:rPr>
          <w:rFonts w:ascii="黑体" w:hAnsi="黑体" w:eastAsia="黑体" w:cs="Times New Roman"/>
          <w:b w:val="0"/>
          <w:bCs w:val="0"/>
          <w:sz w:val="32"/>
          <w:szCs w:val="30"/>
        </w:rPr>
      </w:pPr>
      <w:r>
        <w:rPr>
          <w:rFonts w:hint="eastAsia" w:ascii="黑体" w:hAnsi="黑体" w:eastAsia="黑体" w:cs="Times New Roman"/>
          <w:b w:val="0"/>
          <w:sz w:val="32"/>
          <w:szCs w:val="30"/>
        </w:rPr>
        <w:t>二、清算结算情况</w:t>
      </w:r>
    </w:p>
    <w:p w14:paraId="6678571C">
      <w:pPr>
        <w:spacing w:line="580" w:lineRule="exact"/>
        <w:ind w:firstLine="640" w:firstLineChars="200"/>
        <w:outlineLvl w:val="1"/>
        <w:rPr>
          <w:rFonts w:ascii="楷体" w:hAnsi="楷体" w:eastAsia="楷体" w:cs="仿宋"/>
          <w:sz w:val="32"/>
          <w:szCs w:val="24"/>
        </w:rPr>
      </w:pPr>
      <w:bookmarkStart w:id="11" w:name="_Toc332985998"/>
      <w:bookmarkStart w:id="12" w:name="_Toc332988074"/>
      <w:bookmarkStart w:id="13" w:name="_Toc332989427"/>
      <w:bookmarkStart w:id="14" w:name="_Toc332986440"/>
      <w:r>
        <w:rPr>
          <w:rFonts w:hint="eastAsia" w:ascii="楷体" w:hAnsi="楷体" w:eastAsia="楷体" w:cs="仿宋"/>
          <w:sz w:val="32"/>
          <w:szCs w:val="24"/>
        </w:rPr>
        <w:t>（一）交易清算</w:t>
      </w:r>
    </w:p>
    <w:p w14:paraId="28770FFF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24"/>
        </w:rPr>
        <w:t>上海清算所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清算债券交易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42.2</w:t>
      </w:r>
      <w:r>
        <w:rPr>
          <w:rFonts w:hint="eastAsia" w:ascii="仿宋" w:hAnsi="仿宋" w:eastAsia="仿宋" w:cs="仿宋"/>
          <w:sz w:val="32"/>
          <w:szCs w:val="32"/>
        </w:rPr>
        <w:t>万笔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，清算</w:t>
      </w:r>
      <w:r>
        <w:rPr>
          <w:rFonts w:hint="eastAsia" w:ascii="仿宋" w:hAnsi="仿宋" w:eastAsia="仿宋" w:cs="仿宋"/>
          <w:sz w:val="32"/>
          <w:szCs w:val="32"/>
        </w:rPr>
        <w:t>面额合计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51.6</w:t>
      </w:r>
      <w:r>
        <w:rPr>
          <w:rFonts w:hint="eastAsia" w:ascii="仿宋" w:hAnsi="仿宋" w:eastAsia="仿宋" w:cs="仿宋"/>
          <w:sz w:val="32"/>
          <w:szCs w:val="32"/>
        </w:rPr>
        <w:t>万亿元。从清算方式看，债券净额清算面额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3.6</w:t>
      </w:r>
      <w:r>
        <w:rPr>
          <w:rFonts w:hint="eastAsia" w:ascii="仿宋" w:hAnsi="仿宋" w:eastAsia="仿宋" w:cs="仿宋"/>
          <w:sz w:val="32"/>
          <w:szCs w:val="32"/>
        </w:rPr>
        <w:t>万亿元，债券全额清算面额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 w:cs="仿宋"/>
          <w:sz w:val="32"/>
          <w:szCs w:val="32"/>
        </w:rPr>
        <w:t>万亿元。从交易方式看，债券现券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万笔，清算面额11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.9</w:t>
      </w:r>
      <w:r>
        <w:rPr>
          <w:rFonts w:hint="eastAsia" w:ascii="仿宋" w:hAnsi="仿宋" w:eastAsia="仿宋" w:cs="仿宋"/>
          <w:sz w:val="32"/>
          <w:szCs w:val="32"/>
        </w:rPr>
        <w:t>万亿元、日均0.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万亿元（按2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个工作日计）；债券回购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21.5</w:t>
      </w:r>
      <w:r>
        <w:rPr>
          <w:rFonts w:hint="eastAsia" w:ascii="仿宋" w:hAnsi="仿宋" w:eastAsia="仿宋" w:cs="仿宋"/>
          <w:sz w:val="32"/>
          <w:szCs w:val="32"/>
        </w:rPr>
        <w:t>万笔，清算面额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39.1</w:t>
      </w:r>
      <w:r>
        <w:rPr>
          <w:rFonts w:hint="eastAsia" w:ascii="仿宋" w:hAnsi="仿宋" w:eastAsia="仿宋" w:cs="仿宋"/>
          <w:sz w:val="32"/>
          <w:szCs w:val="32"/>
        </w:rPr>
        <w:t>万亿元、日均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1.9</w:t>
      </w:r>
      <w:r>
        <w:rPr>
          <w:rFonts w:hint="eastAsia" w:ascii="仿宋" w:hAnsi="仿宋" w:eastAsia="仿宋" w:cs="仿宋"/>
          <w:sz w:val="32"/>
          <w:szCs w:val="32"/>
        </w:rPr>
        <w:t>万亿元；债券分销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5941</w:t>
      </w:r>
      <w:r>
        <w:rPr>
          <w:rFonts w:hint="eastAsia" w:ascii="仿宋" w:hAnsi="仿宋" w:eastAsia="仿宋" w:cs="仿宋"/>
          <w:sz w:val="32"/>
          <w:szCs w:val="32"/>
        </w:rPr>
        <w:t>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5297.7</w:t>
      </w:r>
      <w:r>
        <w:rPr>
          <w:rFonts w:hint="eastAsia" w:ascii="仿宋" w:hAnsi="仿宋" w:eastAsia="仿宋" w:cs="仿宋"/>
          <w:sz w:val="32"/>
          <w:szCs w:val="32"/>
        </w:rPr>
        <w:t>亿元；债券借贷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384</w:t>
      </w:r>
      <w:r>
        <w:rPr>
          <w:rFonts w:hint="eastAsia" w:ascii="仿宋" w:hAnsi="仿宋" w:eastAsia="仿宋" w:cs="仿宋"/>
          <w:sz w:val="32"/>
          <w:szCs w:val="32"/>
        </w:rPr>
        <w:t>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662</w:t>
      </w:r>
      <w:r>
        <w:rPr>
          <w:rFonts w:hint="eastAsia" w:ascii="仿宋" w:hAnsi="仿宋" w:eastAsia="仿宋" w:cs="仿宋"/>
          <w:sz w:val="32"/>
          <w:szCs w:val="32"/>
        </w:rPr>
        <w:t>亿元。</w:t>
      </w:r>
    </w:p>
    <w:p w14:paraId="4E9B9D0A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7A0248B1">
      <w:pPr>
        <w:spacing w:line="360" w:lineRule="auto"/>
        <w:ind w:firstLine="0" w:firstLineChars="0"/>
        <w:jc w:val="both"/>
        <w:rPr>
          <w:rFonts w:ascii="仿宋" w:hAnsi="仿宋" w:eastAsia="仿宋" w:cs="仿宋"/>
          <w:sz w:val="30"/>
          <w:szCs w:val="24"/>
        </w:rPr>
      </w:pPr>
      <w:r>
        <w:drawing>
          <wp:inline distT="0" distB="0" distL="114300" distR="114300">
            <wp:extent cx="5365115" cy="3041015"/>
            <wp:effectExtent l="4445" t="4445" r="10160" b="17780"/>
            <wp:docPr id="1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F593431">
      <w:pPr>
        <w:autoSpaceDE w:val="0"/>
        <w:spacing w:after="60" w:line="300" w:lineRule="exact"/>
        <w:ind w:firstLine="158" w:firstLineChars="66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数据来源：</w:t>
      </w:r>
      <w:r>
        <w:rPr>
          <w:rFonts w:hint="eastAsia" w:ascii="仿宋" w:hAnsi="仿宋" w:eastAsia="仿宋" w:cs="仿宋"/>
          <w:sz w:val="24"/>
          <w:szCs w:val="24"/>
        </w:rPr>
        <w:t>上海</w:t>
      </w:r>
      <w:r>
        <w:rPr>
          <w:rFonts w:ascii="仿宋" w:hAnsi="仿宋" w:eastAsia="仿宋" w:cs="仿宋"/>
          <w:sz w:val="24"/>
          <w:szCs w:val="24"/>
        </w:rPr>
        <w:t>清算所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单位：</w:t>
      </w:r>
      <w:r>
        <w:rPr>
          <w:rFonts w:ascii="仿宋" w:hAnsi="仿宋" w:eastAsia="仿宋" w:cs="仿宋"/>
          <w:sz w:val="24"/>
          <w:szCs w:val="24"/>
        </w:rPr>
        <w:t>亿元</w:t>
      </w:r>
    </w:p>
    <w:p w14:paraId="0726508D">
      <w:pPr>
        <w:spacing w:after="120" w:line="400" w:lineRule="exact"/>
        <w:jc w:val="center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 xml:space="preserve">图3  </w:t>
      </w:r>
      <w:r>
        <w:rPr>
          <w:rFonts w:hint="eastAsia" w:ascii="仿宋" w:hAnsi="仿宋" w:eastAsia="仿宋" w:cs="仿宋"/>
          <w:sz w:val="28"/>
          <w:szCs w:val="24"/>
        </w:rPr>
        <w:t>近一年各类债券交易清算规模月度变化情况</w:t>
      </w:r>
    </w:p>
    <w:p w14:paraId="6D6D816B">
      <w:pPr>
        <w:spacing w:line="580" w:lineRule="exact"/>
        <w:ind w:firstLine="640" w:firstLineChars="200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上半年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共</w:t>
      </w:r>
      <w:r>
        <w:rPr>
          <w:rFonts w:hint="eastAsia" w:ascii="仿宋" w:hAnsi="仿宋" w:eastAsia="仿宋" w:cs="仿宋"/>
          <w:sz w:val="32"/>
          <w:szCs w:val="32"/>
        </w:rPr>
        <w:t>清算债券交易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237.8</w:t>
      </w:r>
      <w:r>
        <w:rPr>
          <w:rFonts w:hint="eastAsia" w:ascii="仿宋" w:hAnsi="仿宋" w:eastAsia="仿宋" w:cs="仿宋"/>
          <w:sz w:val="32"/>
          <w:szCs w:val="32"/>
        </w:rPr>
        <w:t>万笔，清算面额合计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340.1</w:t>
      </w:r>
      <w:r>
        <w:rPr>
          <w:rFonts w:hint="eastAsia" w:ascii="仿宋" w:hAnsi="仿宋" w:eastAsia="仿宋" w:cs="仿宋"/>
          <w:sz w:val="32"/>
          <w:szCs w:val="32"/>
        </w:rPr>
        <w:t>万亿元，同比增长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</w:t>
      </w:r>
      <w:r>
        <w:rPr>
          <w:rFonts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</w:rPr>
        <w:t>。从清算方式看，中央对手清算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29.8</w:t>
      </w:r>
      <w:r>
        <w:rPr>
          <w:rFonts w:ascii="仿宋" w:hAnsi="仿宋" w:eastAsia="仿宋" w:cs="仿宋"/>
          <w:sz w:val="32"/>
          <w:szCs w:val="32"/>
        </w:rPr>
        <w:t>万</w:t>
      </w:r>
      <w:r>
        <w:rPr>
          <w:rFonts w:hint="eastAsia" w:ascii="仿宋" w:hAnsi="仿宋" w:eastAsia="仿宋" w:cs="仿宋"/>
          <w:sz w:val="32"/>
          <w:szCs w:val="32"/>
        </w:rPr>
        <w:t>亿元，全额清算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310.3</w:t>
      </w:r>
      <w:r>
        <w:rPr>
          <w:rFonts w:hint="eastAsia" w:ascii="仿宋" w:hAnsi="仿宋" w:eastAsia="仿宋" w:cs="仿宋"/>
          <w:sz w:val="32"/>
          <w:szCs w:val="32"/>
        </w:rPr>
        <w:t>万亿元。</w:t>
      </w:r>
      <w:r>
        <w:rPr>
          <w:rFonts w:ascii="仿宋" w:hAnsi="仿宋" w:eastAsia="仿宋" w:cs="仿宋"/>
          <w:sz w:val="32"/>
          <w:szCs w:val="32"/>
        </w:rPr>
        <w:t>从</w:t>
      </w:r>
      <w:r>
        <w:rPr>
          <w:rFonts w:hint="eastAsia" w:ascii="仿宋" w:hAnsi="仿宋" w:eastAsia="仿宋" w:cs="仿宋"/>
          <w:sz w:val="32"/>
          <w:szCs w:val="32"/>
        </w:rPr>
        <w:t>交易方式看，清算</w:t>
      </w:r>
      <w:r>
        <w:rPr>
          <w:rFonts w:ascii="仿宋" w:hAnsi="仿宋" w:eastAsia="仿宋" w:cs="仿宋"/>
          <w:sz w:val="32"/>
          <w:szCs w:val="32"/>
        </w:rPr>
        <w:t>债券</w:t>
      </w:r>
      <w:r>
        <w:rPr>
          <w:rFonts w:hint="eastAsia" w:ascii="仿宋" w:hAnsi="仿宋" w:eastAsia="仿宋" w:cs="仿宋"/>
          <w:sz w:val="32"/>
          <w:szCs w:val="32"/>
        </w:rPr>
        <w:t>现券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103.3</w:t>
      </w:r>
      <w:r>
        <w:rPr>
          <w:rFonts w:hint="eastAsia" w:ascii="仿宋" w:hAnsi="仿宋" w:eastAsia="仿宋" w:cs="仿宋"/>
          <w:sz w:val="32"/>
          <w:szCs w:val="32"/>
        </w:rPr>
        <w:t>万笔，</w:t>
      </w:r>
      <w:r>
        <w:rPr>
          <w:rFonts w:ascii="仿宋" w:hAnsi="仿宋" w:eastAsia="仿宋" w:cs="仿宋"/>
          <w:sz w:val="32"/>
          <w:szCs w:val="32"/>
        </w:rPr>
        <w:t>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58.4</w:t>
      </w:r>
      <w:r>
        <w:rPr>
          <w:rFonts w:hint="eastAsia" w:ascii="仿宋" w:hAnsi="仿宋" w:eastAsia="仿宋" w:cs="仿宋"/>
          <w:sz w:val="32"/>
          <w:szCs w:val="32"/>
        </w:rPr>
        <w:t>万</w:t>
      </w:r>
      <w:r>
        <w:rPr>
          <w:rFonts w:ascii="仿宋" w:hAnsi="仿宋" w:eastAsia="仿宋" w:cs="仿宋"/>
          <w:sz w:val="32"/>
          <w:szCs w:val="32"/>
        </w:rPr>
        <w:t>亿元</w:t>
      </w:r>
      <w:r>
        <w:rPr>
          <w:rFonts w:hint="eastAsia" w:ascii="仿宋" w:hAnsi="仿宋" w:eastAsia="仿宋" w:cs="仿宋"/>
          <w:sz w:val="32"/>
          <w:szCs w:val="32"/>
        </w:rPr>
        <w:t>，同比下降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</w:rPr>
        <w:t>；债券回购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131.1</w:t>
      </w:r>
      <w:r>
        <w:rPr>
          <w:rFonts w:hint="eastAsia" w:ascii="仿宋" w:hAnsi="仿宋" w:eastAsia="仿宋" w:cs="仿宋"/>
          <w:sz w:val="32"/>
          <w:szCs w:val="32"/>
        </w:rPr>
        <w:t>万</w:t>
      </w:r>
      <w:r>
        <w:rPr>
          <w:rFonts w:ascii="仿宋" w:hAnsi="仿宋" w:eastAsia="仿宋" w:cs="仿宋"/>
          <w:sz w:val="32"/>
          <w:szCs w:val="32"/>
        </w:rPr>
        <w:t>笔</w:t>
      </w:r>
      <w:r>
        <w:rPr>
          <w:rFonts w:hint="eastAsia" w:ascii="仿宋" w:hAnsi="仿宋" w:eastAsia="仿宋" w:cs="仿宋"/>
          <w:sz w:val="32"/>
          <w:szCs w:val="32"/>
        </w:rPr>
        <w:t>，清算</w:t>
      </w:r>
      <w:r>
        <w:rPr>
          <w:rFonts w:ascii="仿宋" w:hAnsi="仿宋" w:eastAsia="仿宋" w:cs="仿宋"/>
          <w:sz w:val="32"/>
          <w:szCs w:val="32"/>
        </w:rPr>
        <w:t>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278.9</w:t>
      </w:r>
      <w:r>
        <w:rPr>
          <w:rFonts w:hint="eastAsia" w:ascii="仿宋" w:hAnsi="仿宋" w:eastAsia="仿宋" w:cs="仿宋"/>
          <w:sz w:val="32"/>
          <w:szCs w:val="32"/>
        </w:rPr>
        <w:t>万</w:t>
      </w:r>
      <w:r>
        <w:rPr>
          <w:rFonts w:ascii="仿宋" w:hAnsi="仿宋" w:eastAsia="仿宋" w:cs="仿宋"/>
          <w:sz w:val="32"/>
          <w:szCs w:val="32"/>
        </w:rPr>
        <w:t>亿元</w:t>
      </w:r>
      <w:r>
        <w:rPr>
          <w:rFonts w:hint="eastAsia" w:ascii="仿宋" w:hAnsi="仿宋" w:eastAsia="仿宋" w:cs="仿宋"/>
          <w:sz w:val="32"/>
          <w:szCs w:val="32"/>
        </w:rPr>
        <w:t>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41</w:t>
      </w:r>
      <w:r>
        <w:rPr>
          <w:rFonts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</w:rPr>
        <w:t>；债券分销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3.2</w:t>
      </w:r>
      <w:r>
        <w:rPr>
          <w:rFonts w:hint="eastAsia" w:ascii="仿宋" w:hAnsi="仿宋" w:eastAsia="仿宋" w:cs="仿宋"/>
          <w:sz w:val="32"/>
          <w:szCs w:val="32"/>
        </w:rPr>
        <w:t>万笔，清算面额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2.4</w:t>
      </w:r>
      <w:r>
        <w:rPr>
          <w:rFonts w:ascii="仿宋" w:hAnsi="仿宋" w:eastAsia="仿宋" w:cs="仿宋"/>
          <w:sz w:val="32"/>
          <w:szCs w:val="32"/>
        </w:rPr>
        <w:t>万</w:t>
      </w:r>
      <w:r>
        <w:rPr>
          <w:rFonts w:hint="eastAsia" w:ascii="仿宋" w:hAnsi="仿宋" w:eastAsia="仿宋" w:cs="仿宋"/>
          <w:sz w:val="32"/>
          <w:szCs w:val="32"/>
        </w:rPr>
        <w:t>亿元；债券借贷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2236</w:t>
      </w:r>
      <w:r>
        <w:rPr>
          <w:rFonts w:hint="eastAsia" w:ascii="仿宋" w:hAnsi="仿宋" w:eastAsia="仿宋" w:cs="仿宋"/>
          <w:sz w:val="32"/>
          <w:szCs w:val="32"/>
        </w:rPr>
        <w:t>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4202.1</w:t>
      </w:r>
      <w:r>
        <w:rPr>
          <w:rFonts w:hint="eastAsia" w:ascii="仿宋" w:hAnsi="仿宋" w:eastAsia="仿宋" w:cs="仿宋"/>
          <w:sz w:val="32"/>
          <w:szCs w:val="32"/>
        </w:rPr>
        <w:t>亿元；债券远期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</w:t>
      </w:r>
      <w:r>
        <w:rPr>
          <w:rFonts w:hint="eastAsia" w:ascii="仿宋" w:hAnsi="仿宋" w:eastAsia="仿宋" w:cs="仿宋"/>
          <w:sz w:val="32"/>
          <w:szCs w:val="32"/>
        </w:rPr>
        <w:t>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39.6</w:t>
      </w:r>
      <w:r>
        <w:rPr>
          <w:rFonts w:hint="eastAsia" w:ascii="仿宋" w:hAnsi="仿宋" w:eastAsia="仿宋" w:cs="仿宋"/>
          <w:sz w:val="32"/>
          <w:szCs w:val="32"/>
        </w:rPr>
        <w:t>亿元。</w:t>
      </w:r>
    </w:p>
    <w:p w14:paraId="495C348D">
      <w:pPr>
        <w:spacing w:line="580" w:lineRule="exact"/>
        <w:ind w:firstLine="640" w:firstLineChars="200"/>
        <w:outlineLvl w:val="1"/>
        <w:rPr>
          <w:rFonts w:ascii="楷体" w:hAnsi="楷体" w:eastAsia="楷体" w:cs="仿宋"/>
          <w:sz w:val="32"/>
          <w:szCs w:val="24"/>
        </w:rPr>
      </w:pPr>
      <w:r>
        <w:rPr>
          <w:rFonts w:hint="eastAsia" w:ascii="楷体" w:hAnsi="楷体" w:eastAsia="楷体" w:cs="仿宋"/>
          <w:sz w:val="32"/>
          <w:szCs w:val="24"/>
        </w:rPr>
        <w:t>（二）现券换手率</w:t>
      </w:r>
      <w:bookmarkEnd w:id="11"/>
      <w:bookmarkEnd w:id="12"/>
      <w:bookmarkEnd w:id="13"/>
      <w:bookmarkEnd w:id="14"/>
      <w:bookmarkStart w:id="15" w:name="_Toc332989429"/>
      <w:bookmarkStart w:id="16" w:name="_Toc332988076"/>
      <w:bookmarkStart w:id="17" w:name="_Toc332985999"/>
      <w:bookmarkStart w:id="18" w:name="_Toc332986441"/>
    </w:p>
    <w:p w14:paraId="34E28F5C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0"/>
        </w:rPr>
        <w:t>202</w:t>
      </w:r>
      <w:r>
        <w:rPr>
          <w:rFonts w:hint="eastAsia" w:ascii="仿宋" w:hAnsi="仿宋" w:eastAsia="仿宋" w:cs="仿宋"/>
          <w:sz w:val="32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0"/>
        </w:rPr>
        <w:t>年</w:t>
      </w:r>
      <w:r>
        <w:rPr>
          <w:rFonts w:hint="eastAsia" w:ascii="仿宋" w:hAnsi="仿宋" w:eastAsia="仿宋" w:cs="仿宋"/>
          <w:sz w:val="32"/>
          <w:szCs w:val="30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0"/>
        </w:rPr>
        <w:t>月</w:t>
      </w:r>
      <w:r>
        <w:rPr>
          <w:rFonts w:hint="eastAsia" w:ascii="仿宋" w:hAnsi="仿宋" w:eastAsia="仿宋" w:cs="仿宋"/>
          <w:sz w:val="32"/>
          <w:szCs w:val="30"/>
        </w:rPr>
        <w:t>，在上海清算所托管的债券中，公司信用类债券、金融债券和同业存单的现券日均换手率</w:t>
      </w:r>
      <w:r>
        <w:rPr>
          <w:rFonts w:ascii="仿宋" w:hAnsi="仿宋" w:eastAsia="仿宋" w:cs="仿宋"/>
          <w:sz w:val="32"/>
          <w:szCs w:val="30"/>
          <w:vertAlign w:val="superscript"/>
        </w:rPr>
        <w:footnoteReference w:id="2"/>
      </w:r>
      <w:r>
        <w:rPr>
          <w:rFonts w:hint="eastAsia" w:ascii="仿宋" w:hAnsi="仿宋" w:eastAsia="仿宋" w:cs="仿宋"/>
          <w:sz w:val="32"/>
          <w:szCs w:val="30"/>
        </w:rPr>
        <w:t>分别为</w:t>
      </w:r>
      <w:r>
        <w:rPr>
          <w:rFonts w:ascii="仿宋" w:hAnsi="仿宋" w:eastAsia="仿宋" w:cs="仿宋"/>
          <w:sz w:val="32"/>
          <w:szCs w:val="30"/>
        </w:rPr>
        <w:t>0.</w:t>
      </w:r>
      <w:r>
        <w:rPr>
          <w:rFonts w:hint="eastAsia" w:ascii="仿宋" w:hAnsi="仿宋" w:eastAsia="仿宋" w:cs="仿宋"/>
          <w:sz w:val="32"/>
          <w:szCs w:val="30"/>
          <w:lang w:val="en-US" w:eastAsia="zh-CN"/>
        </w:rPr>
        <w:t>54</w:t>
      </w:r>
      <w:r>
        <w:rPr>
          <w:rFonts w:ascii="仿宋" w:hAnsi="仿宋" w:eastAsia="仿宋" w:cs="仿宋"/>
          <w:sz w:val="32"/>
          <w:szCs w:val="30"/>
        </w:rPr>
        <w:t>%</w:t>
      </w:r>
      <w:r>
        <w:rPr>
          <w:rFonts w:hint="eastAsia" w:ascii="仿宋" w:hAnsi="仿宋" w:eastAsia="仿宋" w:cs="仿宋"/>
          <w:sz w:val="32"/>
          <w:szCs w:val="30"/>
        </w:rPr>
        <w:t>、</w:t>
      </w:r>
      <w:r>
        <w:rPr>
          <w:rFonts w:ascii="仿宋" w:hAnsi="仿宋" w:eastAsia="仿宋" w:cs="仿宋"/>
          <w:sz w:val="32"/>
          <w:szCs w:val="30"/>
        </w:rPr>
        <w:t>0.</w:t>
      </w:r>
      <w:r>
        <w:rPr>
          <w:rFonts w:hint="eastAsia" w:ascii="仿宋" w:hAnsi="仿宋" w:eastAsia="仿宋" w:cs="仿宋"/>
          <w:sz w:val="32"/>
          <w:szCs w:val="30"/>
          <w:lang w:val="en-US" w:eastAsia="zh-CN"/>
        </w:rPr>
        <w:t>94</w:t>
      </w:r>
      <w:r>
        <w:rPr>
          <w:rFonts w:hint="eastAsia" w:ascii="仿宋" w:hAnsi="仿宋" w:eastAsia="仿宋" w:cs="仿宋"/>
          <w:sz w:val="32"/>
          <w:szCs w:val="30"/>
        </w:rPr>
        <w:t>%和</w:t>
      </w:r>
      <w:r>
        <w:rPr>
          <w:rFonts w:ascii="仿宋" w:hAnsi="仿宋" w:eastAsia="仿宋" w:cs="仿宋"/>
          <w:sz w:val="32"/>
          <w:szCs w:val="30"/>
        </w:rPr>
        <w:t>1.</w:t>
      </w:r>
      <w:r>
        <w:rPr>
          <w:rFonts w:hint="eastAsia" w:ascii="仿宋" w:hAnsi="仿宋" w:eastAsia="仿宋" w:cs="仿宋"/>
          <w:sz w:val="32"/>
          <w:szCs w:val="30"/>
          <w:lang w:val="en-US" w:eastAsia="zh-CN"/>
        </w:rPr>
        <w:t>74</w:t>
      </w:r>
      <w:r>
        <w:rPr>
          <w:rFonts w:ascii="仿宋" w:hAnsi="仿宋" w:eastAsia="仿宋" w:cs="仿宋"/>
          <w:sz w:val="32"/>
          <w:szCs w:val="30"/>
        </w:rPr>
        <w:t>%</w:t>
      </w:r>
      <w:r>
        <w:rPr>
          <w:rFonts w:hint="eastAsia" w:ascii="仿宋" w:hAnsi="仿宋" w:eastAsia="仿宋" w:cs="仿宋"/>
          <w:sz w:val="32"/>
          <w:szCs w:val="30"/>
        </w:rPr>
        <w:t>。</w:t>
      </w:r>
      <w:r>
        <w:rPr>
          <w:rFonts w:hint="eastAsia" w:ascii="仿宋" w:hAnsi="仿宋" w:eastAsia="仿宋" w:cs="仿宋"/>
          <w:sz w:val="32"/>
          <w:szCs w:val="30"/>
          <w:lang w:eastAsia="zh-CN"/>
        </w:rPr>
        <w:t>上半年</w:t>
      </w:r>
      <w:r>
        <w:rPr>
          <w:rFonts w:hint="eastAsia" w:ascii="仿宋" w:hAnsi="仿宋" w:eastAsia="仿宋" w:cs="仿宋"/>
          <w:sz w:val="32"/>
          <w:szCs w:val="32"/>
        </w:rPr>
        <w:t>，公司信用类债券、金融债券和同业存单的现券日均换手率分别为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55</w:t>
      </w:r>
      <w:r>
        <w:rPr>
          <w:rFonts w:hint="eastAsia" w:ascii="仿宋" w:hAnsi="仿宋" w:eastAsia="仿宋" w:cs="仿宋"/>
          <w:sz w:val="32"/>
          <w:szCs w:val="32"/>
        </w:rPr>
        <w:t>%、</w:t>
      </w:r>
      <w:r>
        <w:rPr>
          <w:rFonts w:ascii="仿宋" w:hAnsi="仿宋" w:eastAsia="仿宋" w:cs="仿宋"/>
          <w:sz w:val="32"/>
          <w:szCs w:val="32"/>
        </w:rPr>
        <w:t>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81</w:t>
      </w:r>
      <w:r>
        <w:rPr>
          <w:rFonts w:hint="eastAsia" w:ascii="仿宋" w:hAnsi="仿宋" w:eastAsia="仿宋" w:cs="仿宋"/>
          <w:sz w:val="32"/>
          <w:szCs w:val="32"/>
        </w:rPr>
        <w:t>%和1.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44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 w14:paraId="3D65E607">
      <w:pPr>
        <w:jc w:val="center"/>
        <w:rPr>
          <w:rFonts w:ascii="仿宋" w:hAnsi="仿宋" w:eastAsia="仿宋" w:cs="仿宋"/>
          <w:sz w:val="30"/>
          <w:szCs w:val="30"/>
        </w:rPr>
      </w:pPr>
      <w:r>
        <w:drawing>
          <wp:inline distT="0" distB="0" distL="114300" distR="114300">
            <wp:extent cx="5337810" cy="2708910"/>
            <wp:effectExtent l="4445" t="4445" r="6985" b="14605"/>
            <wp:docPr id="1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bookmarkEnd w:id="15"/>
    <w:bookmarkEnd w:id="16"/>
    <w:bookmarkEnd w:id="17"/>
    <w:bookmarkEnd w:id="18"/>
    <w:p w14:paraId="4E27C9D9">
      <w:pPr>
        <w:spacing w:line="36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bookmarkStart w:id="19" w:name="_Toc332988077"/>
      <w:bookmarkStart w:id="20" w:name="_Toc332989430"/>
      <w:bookmarkStart w:id="21" w:name="_Toc332986442"/>
      <w:bookmarkStart w:id="22" w:name="_Toc332986000"/>
      <w:r>
        <w:rPr>
          <w:rFonts w:ascii="仿宋" w:hAnsi="仿宋" w:eastAsia="仿宋" w:cs="仿宋"/>
          <w:sz w:val="24"/>
          <w:szCs w:val="24"/>
        </w:rPr>
        <w:t>数据来源：</w:t>
      </w:r>
      <w:r>
        <w:rPr>
          <w:rFonts w:hint="eastAsia" w:ascii="仿宋" w:hAnsi="仿宋" w:eastAsia="仿宋" w:cs="仿宋"/>
          <w:sz w:val="24"/>
          <w:szCs w:val="24"/>
        </w:rPr>
        <w:t>上海</w:t>
      </w:r>
      <w:r>
        <w:rPr>
          <w:rFonts w:ascii="仿宋" w:hAnsi="仿宋" w:eastAsia="仿宋" w:cs="仿宋"/>
          <w:sz w:val="24"/>
          <w:szCs w:val="24"/>
        </w:rPr>
        <w:t>清算所</w:t>
      </w:r>
      <w:r>
        <w:rPr>
          <w:rFonts w:ascii="仿宋" w:hAnsi="仿宋" w:eastAsia="仿宋" w:cs="仿宋"/>
          <w:sz w:val="24"/>
          <w:szCs w:val="24"/>
        </w:rPr>
        <w:tab/>
      </w:r>
    </w:p>
    <w:p w14:paraId="109F7783">
      <w:pPr>
        <w:spacing w:after="120" w:line="400" w:lineRule="exact"/>
        <w:jc w:val="center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 xml:space="preserve">图4  </w:t>
      </w:r>
      <w:r>
        <w:rPr>
          <w:rFonts w:hint="eastAsia" w:ascii="仿宋" w:hAnsi="仿宋" w:eastAsia="仿宋" w:cs="仿宋"/>
          <w:sz w:val="28"/>
          <w:szCs w:val="24"/>
        </w:rPr>
        <w:t>近一年主要券种现券日均</w:t>
      </w:r>
      <w:r>
        <w:rPr>
          <w:rFonts w:ascii="仿宋" w:hAnsi="仿宋" w:eastAsia="仿宋" w:cs="仿宋"/>
          <w:sz w:val="28"/>
          <w:szCs w:val="24"/>
        </w:rPr>
        <w:t>换手率月度</w:t>
      </w:r>
      <w:r>
        <w:rPr>
          <w:rFonts w:hint="eastAsia" w:ascii="仿宋" w:hAnsi="仿宋" w:eastAsia="仿宋" w:cs="仿宋"/>
          <w:sz w:val="28"/>
          <w:szCs w:val="24"/>
        </w:rPr>
        <w:t>变化情况</w:t>
      </w:r>
    </w:p>
    <w:p w14:paraId="6F6351DA">
      <w:pPr>
        <w:spacing w:line="580" w:lineRule="exact"/>
        <w:ind w:firstLine="640" w:firstLineChars="200"/>
        <w:outlineLvl w:val="1"/>
        <w:rPr>
          <w:rFonts w:ascii="楷体" w:hAnsi="楷体" w:eastAsia="楷体" w:cs="仿宋"/>
          <w:sz w:val="32"/>
          <w:szCs w:val="24"/>
        </w:rPr>
      </w:pPr>
      <w:r>
        <w:rPr>
          <w:rFonts w:hint="eastAsia" w:ascii="楷体" w:hAnsi="楷体" w:eastAsia="楷体" w:cs="仿宋"/>
          <w:sz w:val="32"/>
          <w:szCs w:val="24"/>
        </w:rPr>
        <w:t>（三）回购规模</w:t>
      </w:r>
    </w:p>
    <w:p w14:paraId="02F5861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0"/>
        </w:rPr>
        <w:t>上海清算所</w:t>
      </w:r>
      <w:r>
        <w:rPr>
          <w:rFonts w:hint="eastAsia" w:ascii="仿宋" w:hAnsi="仿宋" w:eastAsia="仿宋" w:cs="仿宋"/>
          <w:sz w:val="32"/>
          <w:szCs w:val="32"/>
        </w:rPr>
        <w:t>清算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债券</w:t>
      </w:r>
      <w:r>
        <w:rPr>
          <w:rFonts w:hint="eastAsia" w:ascii="仿宋" w:hAnsi="仿宋" w:eastAsia="仿宋" w:cs="仿宋"/>
          <w:sz w:val="32"/>
          <w:szCs w:val="32"/>
        </w:rPr>
        <w:t>质押式回购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21.5</w:t>
      </w:r>
      <w:r>
        <w:rPr>
          <w:rFonts w:hint="eastAsia" w:ascii="仿宋" w:hAnsi="仿宋" w:eastAsia="仿宋" w:cs="仿宋"/>
          <w:sz w:val="32"/>
          <w:szCs w:val="32"/>
        </w:rPr>
        <w:t>万笔，清算面额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</w:t>
      </w:r>
      <w:r>
        <w:rPr>
          <w:rFonts w:hint="eastAsia" w:ascii="仿宋" w:hAnsi="仿宋" w:eastAsia="仿宋" w:cs="仿宋"/>
          <w:sz w:val="32"/>
          <w:szCs w:val="32"/>
        </w:rPr>
        <w:t>万亿元、日均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1.9</w:t>
      </w:r>
      <w:r>
        <w:rPr>
          <w:rFonts w:hint="eastAsia" w:ascii="仿宋" w:hAnsi="仿宋" w:eastAsia="仿宋" w:cs="仿宋"/>
          <w:sz w:val="32"/>
          <w:szCs w:val="32"/>
        </w:rPr>
        <w:t>万亿元；买断式回购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197</w:t>
      </w:r>
      <w:r>
        <w:rPr>
          <w:rFonts w:hint="eastAsia" w:ascii="仿宋" w:hAnsi="仿宋" w:eastAsia="仿宋" w:cs="仿宋"/>
          <w:sz w:val="32"/>
          <w:szCs w:val="32"/>
        </w:rPr>
        <w:t>笔，清算面额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578</w:t>
      </w:r>
      <w:r>
        <w:rPr>
          <w:rFonts w:hint="eastAsia" w:ascii="仿宋" w:hAnsi="仿宋" w:eastAsia="仿宋" w:cs="仿宋"/>
          <w:sz w:val="32"/>
          <w:szCs w:val="32"/>
        </w:rPr>
        <w:t>亿元、日均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27.5</w:t>
      </w:r>
      <w:r>
        <w:rPr>
          <w:rFonts w:hint="eastAsia" w:ascii="仿宋" w:hAnsi="仿宋" w:eastAsia="仿宋" w:cs="仿宋"/>
          <w:sz w:val="32"/>
          <w:szCs w:val="32"/>
        </w:rPr>
        <w:t>亿元。</w:t>
      </w:r>
    </w:p>
    <w:p w14:paraId="6FE5AE34">
      <w:pPr>
        <w:spacing w:line="360" w:lineRule="auto"/>
        <w:jc w:val="center"/>
        <w:rPr>
          <w:rFonts w:ascii="仿宋" w:hAnsi="仿宋" w:eastAsia="仿宋" w:cs="Times New Roman"/>
          <w:b/>
          <w:bCs/>
          <w:sz w:val="30"/>
          <w:szCs w:val="30"/>
        </w:rPr>
      </w:pPr>
      <w:r>
        <w:drawing>
          <wp:inline distT="0" distB="0" distL="114300" distR="114300">
            <wp:extent cx="5342255" cy="2483485"/>
            <wp:effectExtent l="4445" t="4445" r="17780" b="11430"/>
            <wp:docPr id="1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1895333">
      <w:pPr>
        <w:autoSpaceDE w:val="0"/>
        <w:spacing w:line="360" w:lineRule="exact"/>
        <w:ind w:firstLine="240" w:firstLineChars="100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数据来源：</w:t>
      </w:r>
      <w:r>
        <w:rPr>
          <w:rFonts w:hint="eastAsia" w:ascii="仿宋" w:hAnsi="仿宋" w:eastAsia="仿宋" w:cs="仿宋"/>
          <w:sz w:val="24"/>
          <w:szCs w:val="24"/>
        </w:rPr>
        <w:t>上海</w:t>
      </w:r>
      <w:r>
        <w:rPr>
          <w:rFonts w:ascii="仿宋" w:hAnsi="仿宋" w:eastAsia="仿宋" w:cs="仿宋"/>
          <w:sz w:val="24"/>
          <w:szCs w:val="24"/>
        </w:rPr>
        <w:t>清算所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</w:t>
      </w:r>
      <w:r>
        <w:rPr>
          <w:rFonts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单位：</w:t>
      </w:r>
      <w:r>
        <w:rPr>
          <w:rFonts w:ascii="仿宋" w:hAnsi="仿宋" w:eastAsia="仿宋" w:cs="仿宋"/>
          <w:sz w:val="24"/>
          <w:szCs w:val="24"/>
        </w:rPr>
        <w:t>亿元</w:t>
      </w:r>
    </w:p>
    <w:p w14:paraId="7F015F58">
      <w:pPr>
        <w:spacing w:after="60" w:line="400" w:lineRule="exact"/>
        <w:jc w:val="center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 xml:space="preserve">图5  </w:t>
      </w:r>
      <w:r>
        <w:rPr>
          <w:rFonts w:hint="eastAsia" w:ascii="仿宋" w:hAnsi="仿宋" w:eastAsia="仿宋" w:cs="仿宋"/>
          <w:sz w:val="28"/>
          <w:szCs w:val="24"/>
        </w:rPr>
        <w:t>近</w:t>
      </w:r>
      <w:r>
        <w:rPr>
          <w:rFonts w:ascii="仿宋" w:hAnsi="仿宋" w:eastAsia="仿宋" w:cs="仿宋"/>
          <w:sz w:val="28"/>
          <w:szCs w:val="24"/>
        </w:rPr>
        <w:t>一年</w:t>
      </w:r>
      <w:r>
        <w:rPr>
          <w:rFonts w:hint="eastAsia" w:ascii="仿宋" w:hAnsi="仿宋" w:eastAsia="仿宋" w:cs="仿宋"/>
          <w:sz w:val="28"/>
          <w:szCs w:val="24"/>
        </w:rPr>
        <w:t>债券回购日均</w:t>
      </w:r>
      <w:r>
        <w:rPr>
          <w:rFonts w:ascii="仿宋" w:hAnsi="仿宋" w:eastAsia="仿宋" w:cs="仿宋"/>
          <w:sz w:val="28"/>
          <w:szCs w:val="24"/>
        </w:rPr>
        <w:t>清算</w:t>
      </w:r>
      <w:r>
        <w:rPr>
          <w:rFonts w:hint="eastAsia" w:ascii="仿宋" w:hAnsi="仿宋" w:eastAsia="仿宋" w:cs="仿宋"/>
          <w:sz w:val="28"/>
          <w:szCs w:val="24"/>
        </w:rPr>
        <w:t>面额月度变化</w:t>
      </w:r>
      <w:r>
        <w:rPr>
          <w:rFonts w:ascii="仿宋" w:hAnsi="仿宋" w:eastAsia="仿宋" w:cs="仿宋"/>
          <w:sz w:val="28"/>
          <w:szCs w:val="24"/>
        </w:rPr>
        <w:t>情况</w:t>
      </w:r>
    </w:p>
    <w:p w14:paraId="3344C9C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上半年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共</w:t>
      </w:r>
      <w:r>
        <w:rPr>
          <w:rFonts w:hint="eastAsia" w:ascii="仿宋" w:hAnsi="仿宋" w:eastAsia="仿宋" w:cs="仿宋"/>
          <w:sz w:val="32"/>
          <w:szCs w:val="32"/>
        </w:rPr>
        <w:t>清算债券质押式回购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130.9</w:t>
      </w:r>
      <w:r>
        <w:rPr>
          <w:rFonts w:hint="eastAsia" w:ascii="仿宋" w:hAnsi="仿宋" w:eastAsia="仿宋" w:cs="仿宋"/>
          <w:sz w:val="32"/>
          <w:szCs w:val="32"/>
        </w:rPr>
        <w:t>万笔，清算面额合计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278.4</w:t>
      </w:r>
      <w:r>
        <w:rPr>
          <w:rFonts w:hint="eastAsia" w:ascii="仿宋" w:hAnsi="仿宋" w:eastAsia="仿宋" w:cs="仿宋"/>
          <w:sz w:val="32"/>
          <w:szCs w:val="32"/>
        </w:rPr>
        <w:t>万亿元；买断式回购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2110</w:t>
      </w:r>
      <w:r>
        <w:rPr>
          <w:rFonts w:hint="eastAsia" w:ascii="仿宋" w:hAnsi="仿宋" w:eastAsia="仿宋" w:cs="仿宋"/>
          <w:sz w:val="32"/>
          <w:szCs w:val="32"/>
        </w:rPr>
        <w:t>笔，清算合计面额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4906.9</w:t>
      </w:r>
      <w:r>
        <w:rPr>
          <w:rFonts w:hint="eastAsia" w:ascii="仿宋" w:hAnsi="仿宋" w:eastAsia="仿宋" w:cs="仿宋"/>
          <w:sz w:val="32"/>
          <w:szCs w:val="32"/>
        </w:rPr>
        <w:t>亿元。截至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仿宋"/>
          <w:sz w:val="32"/>
          <w:szCs w:val="32"/>
        </w:rPr>
        <w:t>末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相关债券质押待购回余额合计约</w:t>
      </w:r>
      <w:r>
        <w:rPr>
          <w:rFonts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万亿元，同比增长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bookmarkEnd w:id="19"/>
    <w:bookmarkEnd w:id="20"/>
    <w:bookmarkEnd w:id="21"/>
    <w:bookmarkEnd w:id="22"/>
    <w:p w14:paraId="30B5B1BF">
      <w:pPr>
        <w:pStyle w:val="2"/>
        <w:adjustRightInd w:val="0"/>
        <w:snapToGrid w:val="0"/>
        <w:spacing w:before="200" w:after="0" w:line="580" w:lineRule="exact"/>
        <w:ind w:left="987" w:hanging="420"/>
        <w:rPr>
          <w:rFonts w:ascii="黑体" w:hAnsi="黑体" w:eastAsia="黑体" w:cs="Times New Roman"/>
          <w:b w:val="0"/>
          <w:bCs w:val="0"/>
          <w:sz w:val="32"/>
          <w:szCs w:val="30"/>
        </w:rPr>
      </w:pPr>
      <w:r>
        <w:rPr>
          <w:rFonts w:hint="eastAsia" w:ascii="黑体" w:hAnsi="黑体" w:eastAsia="黑体" w:cs="Times New Roman"/>
          <w:b w:val="0"/>
          <w:sz w:val="32"/>
          <w:szCs w:val="30"/>
        </w:rPr>
        <w:t>三、投资者情况</w:t>
      </w:r>
    </w:p>
    <w:p w14:paraId="37435800">
      <w:pPr>
        <w:spacing w:line="580" w:lineRule="exact"/>
        <w:ind w:firstLine="640" w:firstLineChars="200"/>
        <w:outlineLvl w:val="1"/>
        <w:rPr>
          <w:rFonts w:ascii="楷体" w:hAnsi="楷体" w:eastAsia="楷体" w:cs="仿宋"/>
          <w:sz w:val="32"/>
          <w:szCs w:val="24"/>
        </w:rPr>
      </w:pPr>
      <w:r>
        <w:rPr>
          <w:rFonts w:hint="eastAsia" w:ascii="楷体" w:hAnsi="楷体" w:eastAsia="楷体" w:cs="仿宋"/>
          <w:sz w:val="32"/>
          <w:szCs w:val="24"/>
        </w:rPr>
        <w:t>（一）投资者债券账户</w:t>
      </w:r>
    </w:p>
    <w:p w14:paraId="3DEF61EA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截至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仿宋"/>
          <w:sz w:val="32"/>
          <w:szCs w:val="32"/>
        </w:rPr>
        <w:t>末，</w:t>
      </w:r>
      <w:r>
        <w:rPr>
          <w:rFonts w:hint="eastAsia" w:ascii="仿宋" w:hAnsi="仿宋" w:eastAsia="仿宋" w:cs="仿宋"/>
          <w:sz w:val="32"/>
          <w:szCs w:val="30"/>
        </w:rPr>
        <w:t>上海清算所</w:t>
      </w:r>
      <w:r>
        <w:rPr>
          <w:rFonts w:hint="eastAsia" w:ascii="仿宋" w:hAnsi="仿宋" w:eastAsia="仿宋" w:cs="仿宋"/>
          <w:sz w:val="32"/>
          <w:szCs w:val="32"/>
        </w:rPr>
        <w:t>累计服务债券市场投资者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45979</w:t>
      </w:r>
      <w:r>
        <w:rPr>
          <w:rFonts w:hint="eastAsia" w:ascii="仿宋" w:hAnsi="仿宋" w:eastAsia="仿宋" w:cs="仿宋"/>
          <w:sz w:val="32"/>
          <w:szCs w:val="32"/>
        </w:rPr>
        <w:t>户，</w:t>
      </w:r>
      <w:r>
        <w:rPr>
          <w:rFonts w:hint="eastAsia" w:ascii="仿宋" w:hAnsi="仿宋" w:eastAsia="仿宋" w:cs="仿宋"/>
          <w:sz w:val="32"/>
          <w:szCs w:val="24"/>
        </w:rPr>
        <w:t>较上年同期增加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4529</w:t>
      </w:r>
      <w:r>
        <w:rPr>
          <w:rFonts w:hint="eastAsia" w:ascii="仿宋" w:hAnsi="仿宋" w:eastAsia="仿宋" w:cs="仿宋"/>
          <w:sz w:val="32"/>
          <w:szCs w:val="32"/>
        </w:rPr>
        <w:t>户</w:t>
      </w:r>
      <w:r>
        <w:rPr>
          <w:rFonts w:hint="eastAsia" w:ascii="仿宋" w:hAnsi="仿宋" w:eastAsia="仿宋" w:cs="仿宋"/>
          <w:sz w:val="32"/>
          <w:szCs w:val="24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5047D4CD">
      <w:pPr>
        <w:spacing w:line="580" w:lineRule="exact"/>
        <w:ind w:firstLine="640" w:firstLineChars="200"/>
        <w:outlineLvl w:val="1"/>
        <w:rPr>
          <w:rFonts w:ascii="楷体" w:hAnsi="楷体" w:eastAsia="楷体" w:cs="仿宋"/>
          <w:sz w:val="32"/>
          <w:szCs w:val="24"/>
        </w:rPr>
      </w:pPr>
      <w:r>
        <w:rPr>
          <w:rFonts w:hint="eastAsia" w:ascii="楷体" w:hAnsi="楷体" w:eastAsia="楷体" w:cs="仿宋"/>
          <w:sz w:val="32"/>
          <w:szCs w:val="24"/>
        </w:rPr>
        <w:t>（二）投资者结构</w:t>
      </w:r>
    </w:p>
    <w:p w14:paraId="189C03B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0"/>
        </w:rPr>
        <w:t>截至</w:t>
      </w:r>
      <w:r>
        <w:rPr>
          <w:rFonts w:ascii="仿宋" w:hAnsi="仿宋" w:eastAsia="仿宋" w:cs="Times New Roman"/>
          <w:sz w:val="32"/>
          <w:szCs w:val="30"/>
        </w:rPr>
        <w:t>202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</w:t>
      </w:r>
      <w:r>
        <w:rPr>
          <w:rFonts w:ascii="仿宋" w:hAnsi="仿宋" w:eastAsia="仿宋" w:cs="Times New Roman"/>
          <w:sz w:val="32"/>
          <w:szCs w:val="30"/>
        </w:rPr>
        <w:t>年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6月</w:t>
      </w:r>
      <w:r>
        <w:rPr>
          <w:rFonts w:hint="eastAsia" w:ascii="仿宋" w:hAnsi="仿宋" w:eastAsia="仿宋" w:cs="Times New Roman"/>
          <w:sz w:val="32"/>
          <w:szCs w:val="30"/>
        </w:rPr>
        <w:t>末，在上海清算所托管的债券中，非法人类产品和存款类金融机构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的</w:t>
      </w:r>
      <w:r>
        <w:rPr>
          <w:rFonts w:hint="eastAsia" w:ascii="仿宋" w:hAnsi="仿宋" w:eastAsia="仿宋" w:cs="Times New Roman"/>
          <w:sz w:val="32"/>
          <w:szCs w:val="30"/>
        </w:rPr>
        <w:t>持有规模分别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为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29.7</w:t>
      </w:r>
      <w:r>
        <w:rPr>
          <w:rFonts w:hint="eastAsia" w:ascii="仿宋" w:hAnsi="仿宋" w:eastAsia="仿宋" w:cs="Times New Roman"/>
          <w:sz w:val="32"/>
          <w:szCs w:val="30"/>
        </w:rPr>
        <w:t>万亿元和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15.7</w:t>
      </w:r>
      <w:r>
        <w:rPr>
          <w:rFonts w:hint="eastAsia" w:ascii="仿宋" w:hAnsi="仿宋" w:eastAsia="仿宋" w:cs="Times New Roman"/>
          <w:sz w:val="32"/>
          <w:szCs w:val="30"/>
        </w:rPr>
        <w:t>万亿元，占比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较大，</w:t>
      </w:r>
      <w:r>
        <w:rPr>
          <w:rFonts w:hint="eastAsia" w:ascii="仿宋" w:hAnsi="仿宋" w:eastAsia="仿宋" w:cs="Times New Roman"/>
          <w:sz w:val="32"/>
          <w:szCs w:val="30"/>
        </w:rPr>
        <w:t>分别为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58</w:t>
      </w:r>
      <w:r>
        <w:rPr>
          <w:rFonts w:hint="eastAsia" w:ascii="仿宋" w:hAnsi="仿宋" w:eastAsia="仿宋" w:cs="Times New Roman"/>
          <w:sz w:val="32"/>
          <w:szCs w:val="30"/>
        </w:rPr>
        <w:t>%和</w:t>
      </w:r>
      <w:r>
        <w:rPr>
          <w:rFonts w:hint="eastAsia" w:ascii="仿宋" w:hAnsi="仿宋" w:eastAsia="仿宋" w:cs="Times New Roman"/>
          <w:sz w:val="32"/>
          <w:szCs w:val="30"/>
          <w:lang w:val="en-US" w:eastAsia="zh-CN"/>
        </w:rPr>
        <w:t>30.58</w:t>
      </w:r>
      <w:r>
        <w:rPr>
          <w:rFonts w:hint="eastAsia" w:ascii="仿宋" w:hAnsi="仿宋" w:eastAsia="仿宋" w:cs="Times New Roman"/>
          <w:sz w:val="32"/>
          <w:szCs w:val="30"/>
        </w:rPr>
        <w:t>%。</w:t>
      </w:r>
    </w:p>
    <w:p w14:paraId="6DE52639">
      <w:pPr>
        <w:spacing w:line="360" w:lineRule="auto"/>
        <w:jc w:val="center"/>
        <w:rPr>
          <w:rFonts w:ascii="仿宋" w:hAnsi="仿宋" w:eastAsia="仿宋" w:cs="仿宋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1113155</wp:posOffset>
                </wp:positionV>
                <wp:extent cx="880745" cy="356870"/>
                <wp:effectExtent l="0" t="0" r="3175" b="889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5" cy="35665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6F553">
                            <w:pPr>
                              <w:jc w:val="left"/>
                              <w:rPr>
                                <w:rFonts w:ascii="仿宋" w:hAnsi="仿宋"/>
                                <w:sz w:val="22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lang w:val="en-US" w:eastAsia="zh-CN"/>
                              </w:rPr>
                              <w:t>15.7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万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亿元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2pt;margin-top:87.65pt;height:28.1pt;width:69.35pt;z-index:251659264;mso-width-relative:page;mso-height-relative:page;" fillcolor="#ED7D31 [3205]" filled="t" stroked="f" coordsize="21600,21600" o:gfxdata="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i20Bu&#10;2gAAAAsBAAAPAAAAAAAAAAEAIAAAACIAAABkcnMvZG93bnJldi54bWxQSwECFAAUAAAACACHTuJA&#10;jAlQslgCAACeBAAADgAAAAAAAAABACAAAAAp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C06F553">
                      <w:pPr>
                        <w:jc w:val="left"/>
                        <w:rPr>
                          <w:rFonts w:ascii="仿宋" w:hAnsi="仿宋"/>
                          <w:sz w:val="22"/>
                        </w:rPr>
                      </w:pPr>
                      <w:r>
                        <w:rPr>
                          <w:rFonts w:hint="eastAsia" w:ascii="仿宋" w:hAnsi="仿宋"/>
                          <w:lang w:val="en-US" w:eastAsia="zh-CN"/>
                        </w:rPr>
                        <w:t>15.7</w:t>
                      </w:r>
                      <w:r>
                        <w:rPr>
                          <w:rFonts w:ascii="仿宋" w:hAnsi="仿宋" w:eastAsia="仿宋"/>
                        </w:rPr>
                        <w:t>万</w:t>
                      </w:r>
                      <w:r>
                        <w:rPr>
                          <w:rFonts w:hint="eastAsia" w:ascii="仿宋" w:hAnsi="仿宋" w:eastAsia="仿宋"/>
                        </w:rPr>
                        <w:t>亿元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1654810</wp:posOffset>
                </wp:positionV>
                <wp:extent cx="898525" cy="304800"/>
                <wp:effectExtent l="0" t="0" r="635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525" cy="3048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FADEE">
                            <w:pPr>
                              <w:rPr>
                                <w:rFonts w:ascii="仿宋" w:hAnsi="仿宋"/>
                              </w:rPr>
                            </w:pPr>
                            <w:r>
                              <w:rPr>
                                <w:rFonts w:ascii="仿宋" w:hAnsi="仿宋"/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/>
                                <w:lang w:val="en-US" w:eastAsia="zh-CN"/>
                              </w:rPr>
                              <w:t>9.7</w:t>
                            </w:r>
                            <w:r>
                              <w:rPr>
                                <w:rFonts w:ascii="仿宋" w:hAnsi="仿宋" w:eastAsia="仿宋"/>
                              </w:rPr>
                              <w:t>万亿</w:t>
                            </w:r>
                            <w:r>
                              <w:rPr>
                                <w:rFonts w:hint="eastAsia" w:ascii="仿宋" w:hAnsi="仿宋" w:eastAsia="仿宋"/>
                              </w:rPr>
                              <w:t>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55pt;margin-top:130.3pt;height:24pt;width:70.75pt;z-index:251660288;mso-width-relative:page;mso-height-relative:page;" fillcolor="#4472C4 [3208]" filled="t" stroked="f" coordsize="21600,21600" o:gfxdata="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29OqNYA&#10;AAALAQAADwAAAAAAAAABACAAAAAiAAAAZHJzL2Rvd25yZXYueG1sUEsBAhQAFAAAAAgAh07iQHf1&#10;HSNaAgAAng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1FADEE">
                      <w:pPr>
                        <w:rPr>
                          <w:rFonts w:ascii="仿宋" w:hAnsi="仿宋"/>
                        </w:rPr>
                      </w:pPr>
                      <w:r>
                        <w:rPr>
                          <w:rFonts w:ascii="仿宋" w:hAnsi="仿宋"/>
                        </w:rPr>
                        <w:t>2</w:t>
                      </w:r>
                      <w:r>
                        <w:rPr>
                          <w:rFonts w:hint="eastAsia" w:ascii="仿宋" w:hAnsi="仿宋"/>
                          <w:lang w:val="en-US" w:eastAsia="zh-CN"/>
                        </w:rPr>
                        <w:t>9.7</w:t>
                      </w:r>
                      <w:r>
                        <w:rPr>
                          <w:rFonts w:ascii="仿宋" w:hAnsi="仿宋" w:eastAsia="仿宋"/>
                        </w:rPr>
                        <w:t>万亿</w:t>
                      </w:r>
                      <w:r>
                        <w:rPr>
                          <w:rFonts w:hint="eastAsia" w:ascii="仿宋" w:hAnsi="仿宋" w:eastAsia="仿宋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drawing>
          <wp:inline distT="0" distB="0" distL="114300" distR="114300">
            <wp:extent cx="4790440" cy="2804795"/>
            <wp:effectExtent l="4445" t="4445" r="5715" b="10160"/>
            <wp:docPr id="1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5178820">
      <w:pPr>
        <w:spacing w:line="360" w:lineRule="exact"/>
        <w:ind w:firstLine="240" w:firstLineChars="1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数据来源：</w:t>
      </w:r>
      <w:r>
        <w:rPr>
          <w:rFonts w:hint="eastAsia" w:ascii="仿宋" w:hAnsi="仿宋" w:eastAsia="仿宋" w:cs="仿宋"/>
          <w:sz w:val="24"/>
          <w:szCs w:val="24"/>
        </w:rPr>
        <w:t>上海</w:t>
      </w:r>
      <w:r>
        <w:rPr>
          <w:rFonts w:ascii="仿宋" w:hAnsi="仿宋" w:eastAsia="仿宋" w:cs="仿宋"/>
          <w:sz w:val="24"/>
          <w:szCs w:val="24"/>
        </w:rPr>
        <w:t>清算所</w:t>
      </w:r>
    </w:p>
    <w:p w14:paraId="000DDE4C">
      <w:pPr>
        <w:spacing w:after="120" w:line="400" w:lineRule="exact"/>
        <w:jc w:val="center"/>
        <w:rPr>
          <w:rFonts w:hint="eastAsia"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>图6  202</w:t>
      </w: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4"/>
        </w:rPr>
        <w:t>年</w:t>
      </w:r>
      <w:r>
        <w:rPr>
          <w:rFonts w:hint="eastAsia" w:ascii="仿宋" w:hAnsi="仿宋" w:eastAsia="仿宋" w:cs="仿宋"/>
          <w:sz w:val="28"/>
          <w:szCs w:val="24"/>
          <w:lang w:eastAsia="zh-CN"/>
        </w:rPr>
        <w:t>上半年</w:t>
      </w:r>
      <w:r>
        <w:rPr>
          <w:rFonts w:hint="eastAsia" w:ascii="仿宋" w:hAnsi="仿宋" w:eastAsia="仿宋" w:cs="仿宋"/>
          <w:sz w:val="28"/>
          <w:szCs w:val="24"/>
        </w:rPr>
        <w:t>末各类</w:t>
      </w:r>
      <w:r>
        <w:rPr>
          <w:rFonts w:ascii="仿宋" w:hAnsi="仿宋" w:eastAsia="仿宋" w:cs="仿宋"/>
          <w:sz w:val="28"/>
          <w:szCs w:val="24"/>
        </w:rPr>
        <w:t>投资者债券持有余额结构</w:t>
      </w:r>
      <w:r>
        <w:rPr>
          <w:rFonts w:hint="eastAsia" w:ascii="仿宋" w:hAnsi="仿宋" w:eastAsia="仿宋" w:cs="仿宋"/>
          <w:sz w:val="28"/>
          <w:szCs w:val="24"/>
        </w:rPr>
        <w:t>情况</w:t>
      </w:r>
    </w:p>
    <w:p w14:paraId="38C3E590">
      <w:pPr>
        <w:spacing w:after="0" w:line="580" w:lineRule="exact"/>
        <w:ind w:firstLine="640" w:firstLineChars="200"/>
        <w:jc w:val="both"/>
        <w:rPr>
          <w:rFonts w:hint="eastAsia" w:ascii="仿宋" w:hAnsi="仿宋" w:eastAsia="仿宋" w:cs="Times New Roman"/>
          <w:sz w:val="32"/>
          <w:szCs w:val="30"/>
        </w:rPr>
      </w:pPr>
      <w:r>
        <w:rPr>
          <w:rFonts w:hint="eastAsia" w:ascii="仿宋" w:hAnsi="仿宋" w:eastAsia="仿宋" w:cs="Times New Roman"/>
          <w:sz w:val="32"/>
          <w:szCs w:val="30"/>
        </w:rPr>
        <w:t>与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上年末</w:t>
      </w:r>
      <w:r>
        <w:rPr>
          <w:rFonts w:hint="eastAsia" w:ascii="仿宋" w:hAnsi="仿宋" w:eastAsia="仿宋" w:cs="Times New Roman"/>
          <w:sz w:val="32"/>
          <w:szCs w:val="30"/>
        </w:rPr>
        <w:t>相比，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近半年</w:t>
      </w:r>
      <w:r>
        <w:rPr>
          <w:rFonts w:hint="eastAsia" w:ascii="仿宋" w:hAnsi="仿宋" w:eastAsia="仿宋" w:cs="Times New Roman"/>
          <w:sz w:val="32"/>
          <w:szCs w:val="30"/>
        </w:rPr>
        <w:t>政策性银行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、</w:t>
      </w:r>
      <w:r>
        <w:rPr>
          <w:rFonts w:hint="eastAsia" w:ascii="仿宋" w:hAnsi="仿宋" w:eastAsia="仿宋" w:cs="Times New Roman"/>
          <w:sz w:val="32"/>
          <w:szCs w:val="30"/>
        </w:rPr>
        <w:t>存款类金融机构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、非银行类金融机构</w:t>
      </w:r>
      <w:r>
        <w:rPr>
          <w:rFonts w:hint="eastAsia" w:ascii="仿宋" w:hAnsi="仿宋" w:eastAsia="仿宋" w:cs="Times New Roman"/>
          <w:sz w:val="32"/>
          <w:szCs w:val="30"/>
        </w:rPr>
        <w:t>和</w:t>
      </w:r>
      <w:r>
        <w:rPr>
          <w:rFonts w:hint="eastAsia" w:ascii="仿宋" w:hAnsi="仿宋" w:eastAsia="仿宋" w:cs="Times New Roman"/>
          <w:sz w:val="32"/>
          <w:szCs w:val="30"/>
          <w:lang w:eastAsia="zh-CN"/>
        </w:rPr>
        <w:t>非法人类产品</w:t>
      </w:r>
      <w:r>
        <w:rPr>
          <w:rFonts w:hint="eastAsia" w:ascii="仿宋" w:hAnsi="仿宋" w:eastAsia="仿宋" w:cs="Times New Roman"/>
          <w:sz w:val="32"/>
          <w:szCs w:val="30"/>
        </w:rPr>
        <w:t>的债券持有规模均上升，其他投资者持有规模下降。</w:t>
      </w:r>
    </w:p>
    <w:p w14:paraId="22CB0D78">
      <w:pPr>
        <w:jc w:val="center"/>
        <w:rPr>
          <w:rFonts w:ascii="仿宋" w:hAnsi="仿宋" w:eastAsia="仿宋" w:cs="仿宋"/>
          <w:sz w:val="30"/>
          <w:szCs w:val="30"/>
        </w:rPr>
      </w:pPr>
      <w:r>
        <w:drawing>
          <wp:inline distT="0" distB="0" distL="114300" distR="114300">
            <wp:extent cx="5144770" cy="3030855"/>
            <wp:effectExtent l="4445" t="4445" r="17145" b="12700"/>
            <wp:docPr id="16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F3FEB35">
      <w:pPr>
        <w:tabs>
          <w:tab w:val="left" w:pos="2445"/>
        </w:tabs>
        <w:spacing w:line="360" w:lineRule="exact"/>
        <w:ind w:firstLine="240" w:firstLineChars="1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24"/>
          <w:szCs w:val="24"/>
        </w:rPr>
        <w:t>数据来源：</w:t>
      </w:r>
      <w:r>
        <w:rPr>
          <w:rFonts w:hint="eastAsia" w:ascii="仿宋" w:hAnsi="仿宋" w:eastAsia="仿宋" w:cs="仿宋"/>
          <w:sz w:val="24"/>
          <w:szCs w:val="24"/>
        </w:rPr>
        <w:t>上海</w:t>
      </w:r>
      <w:r>
        <w:rPr>
          <w:rFonts w:ascii="仿宋" w:hAnsi="仿宋" w:eastAsia="仿宋" w:cs="仿宋"/>
          <w:sz w:val="24"/>
          <w:szCs w:val="24"/>
        </w:rPr>
        <w:t>清算所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        </w:t>
      </w:r>
      <w:r>
        <w:rPr>
          <w:rFonts w:ascii="仿宋" w:hAnsi="仿宋" w:eastAsia="仿宋" w:cs="仿宋"/>
          <w:sz w:val="24"/>
          <w:szCs w:val="24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单位：万</w:t>
      </w:r>
      <w:r>
        <w:rPr>
          <w:rFonts w:ascii="仿宋" w:hAnsi="仿宋" w:eastAsia="仿宋" w:cs="仿宋"/>
          <w:sz w:val="24"/>
          <w:szCs w:val="24"/>
        </w:rPr>
        <w:t>亿元</w:t>
      </w:r>
    </w:p>
    <w:p w14:paraId="27B7CDE5">
      <w:pPr>
        <w:spacing w:after="120" w:line="400" w:lineRule="exact"/>
        <w:jc w:val="center"/>
        <w:rPr>
          <w:rFonts w:ascii="仿宋" w:hAnsi="仿宋" w:eastAsia="仿宋" w:cs="仿宋"/>
          <w:sz w:val="28"/>
          <w:szCs w:val="24"/>
        </w:rPr>
      </w:pPr>
      <w:r>
        <w:rPr>
          <w:rFonts w:ascii="仿宋" w:hAnsi="仿宋" w:eastAsia="仿宋" w:cs="仿宋"/>
          <w:sz w:val="28"/>
          <w:szCs w:val="24"/>
        </w:rPr>
        <w:t xml:space="preserve">图7 </w:t>
      </w:r>
      <w:r>
        <w:rPr>
          <w:rFonts w:hint="eastAsia" w:ascii="仿宋" w:hAnsi="仿宋" w:eastAsia="仿宋" w:cs="仿宋"/>
          <w:sz w:val="28"/>
          <w:szCs w:val="24"/>
        </w:rPr>
        <w:t>各类</w:t>
      </w:r>
      <w:r>
        <w:rPr>
          <w:rFonts w:ascii="仿宋" w:hAnsi="仿宋" w:eastAsia="仿宋" w:cs="仿宋"/>
          <w:sz w:val="28"/>
          <w:szCs w:val="24"/>
        </w:rPr>
        <w:t>投资者债券持有余额</w:t>
      </w:r>
      <w:r>
        <w:rPr>
          <w:rFonts w:hint="eastAsia" w:ascii="仿宋" w:hAnsi="仿宋" w:eastAsia="仿宋" w:cs="仿宋"/>
          <w:sz w:val="28"/>
          <w:szCs w:val="24"/>
        </w:rPr>
        <w:t>变化情况</w:t>
      </w:r>
    </w:p>
    <w:p w14:paraId="3E5123B0"/>
    <w:p w14:paraId="67971703"/>
    <w:p w14:paraId="1227A205"/>
    <w:p w14:paraId="7E1FB210"/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1440" w:right="1797" w:bottom="1440" w:left="1701" w:header="567" w:footer="567" w:gutter="0"/>
      <w:pgNumType w:fmt="numberInDash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Theme="minorEastAsia" w:hAnsiTheme="minorEastAsia"/>
        <w:sz w:val="28"/>
        <w:szCs w:val="28"/>
      </w:rPr>
    </w:sdtEndPr>
    <w:sdtContent>
      <w:p w14:paraId="691CA3C7">
        <w:pPr>
          <w:pStyle w:val="9"/>
          <w:wordWrap w:val="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9 -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/>
        <w:sz w:val="28"/>
        <w:szCs w:val="28"/>
      </w:rPr>
      <w:id w:val="1179082655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7E0394F1">
        <w:pPr>
          <w:pStyle w:val="9"/>
          <w:ind w:firstLine="140" w:firstLineChars="50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10 -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F97FB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653D6226">
      <w:pPr>
        <w:pStyle w:val="11"/>
        <w:jc w:val="both"/>
        <w:rPr>
          <w:rFonts w:ascii="仿宋" w:hAnsi="仿宋" w:eastAsia="仿宋"/>
        </w:rPr>
      </w:pPr>
      <w:r>
        <w:rPr>
          <w:rStyle w:val="20"/>
          <w:rFonts w:ascii="仿宋" w:hAnsi="仿宋" w:eastAsia="仿宋"/>
          <w:sz w:val="21"/>
        </w:rPr>
        <w:footnoteRef/>
      </w:r>
      <w:r>
        <w:rPr>
          <w:rFonts w:ascii="仿宋" w:hAnsi="仿宋" w:eastAsia="仿宋"/>
          <w:sz w:val="21"/>
        </w:rPr>
        <w:t xml:space="preserve"> </w:t>
      </w:r>
      <w:r>
        <w:rPr>
          <w:rFonts w:hint="eastAsia" w:ascii="仿宋" w:hAnsi="仿宋" w:eastAsia="仿宋"/>
          <w:sz w:val="21"/>
        </w:rPr>
        <w:t>本报告</w:t>
      </w:r>
      <w:r>
        <w:rPr>
          <w:rFonts w:ascii="仿宋" w:hAnsi="仿宋" w:eastAsia="仿宋"/>
          <w:sz w:val="21"/>
        </w:rPr>
        <w:t>中</w:t>
      </w:r>
      <w:r>
        <w:rPr>
          <w:rFonts w:hint="eastAsia" w:ascii="仿宋" w:hAnsi="仿宋" w:eastAsia="仿宋"/>
          <w:sz w:val="21"/>
        </w:rPr>
        <w:t>除</w:t>
      </w:r>
      <w:r>
        <w:rPr>
          <w:rFonts w:ascii="仿宋" w:hAnsi="仿宋" w:eastAsia="仿宋"/>
          <w:sz w:val="21"/>
        </w:rPr>
        <w:t>特别说明外</w:t>
      </w:r>
      <w:r>
        <w:rPr>
          <w:rFonts w:hint="eastAsia" w:ascii="仿宋" w:hAnsi="仿宋" w:eastAsia="仿宋"/>
          <w:sz w:val="21"/>
        </w:rPr>
        <w:t>，</w:t>
      </w:r>
      <w:r>
        <w:rPr>
          <w:rFonts w:ascii="仿宋" w:hAnsi="仿宋" w:eastAsia="仿宋"/>
          <w:sz w:val="21"/>
        </w:rPr>
        <w:t>如有总数与各分项数值之和尾数不一致的情况</w:t>
      </w:r>
      <w:r>
        <w:rPr>
          <w:rFonts w:hint="eastAsia" w:ascii="仿宋" w:hAnsi="仿宋" w:eastAsia="仿宋"/>
          <w:sz w:val="21"/>
        </w:rPr>
        <w:t>，</w:t>
      </w:r>
      <w:r>
        <w:rPr>
          <w:rFonts w:ascii="仿宋" w:hAnsi="仿宋" w:eastAsia="仿宋"/>
          <w:sz w:val="21"/>
        </w:rPr>
        <w:t>均为四舍五入后的尾差</w:t>
      </w:r>
      <w:r>
        <w:rPr>
          <w:rFonts w:hint="eastAsia" w:ascii="仿宋" w:hAnsi="仿宋" w:eastAsia="仿宋"/>
          <w:sz w:val="21"/>
        </w:rPr>
        <w:t>；</w:t>
      </w:r>
      <w:r>
        <w:rPr>
          <w:rFonts w:ascii="仿宋" w:hAnsi="仿宋" w:eastAsia="仿宋"/>
          <w:sz w:val="21"/>
        </w:rPr>
        <w:t>外币债券发行</w:t>
      </w:r>
      <w:r>
        <w:rPr>
          <w:rFonts w:hint="eastAsia" w:ascii="仿宋" w:hAnsi="仿宋" w:eastAsia="仿宋"/>
          <w:sz w:val="21"/>
        </w:rPr>
        <w:t>、</w:t>
      </w:r>
      <w:r>
        <w:rPr>
          <w:rFonts w:ascii="仿宋" w:hAnsi="仿宋" w:eastAsia="仿宋"/>
          <w:sz w:val="21"/>
        </w:rPr>
        <w:t>托管及清算面额折合为人民币统计</w:t>
      </w:r>
      <w:r>
        <w:rPr>
          <w:rFonts w:hint="eastAsia" w:ascii="仿宋" w:hAnsi="仿宋" w:eastAsia="仿宋"/>
          <w:sz w:val="21"/>
        </w:rPr>
        <w:t>。</w:t>
      </w:r>
    </w:p>
  </w:footnote>
  <w:footnote w:id="1">
    <w:p w14:paraId="1FEE7C48">
      <w:pPr>
        <w:pStyle w:val="11"/>
        <w:jc w:val="both"/>
      </w:pPr>
      <w:r>
        <w:rPr>
          <w:rStyle w:val="20"/>
          <w:rFonts w:ascii="仿宋" w:hAnsi="仿宋" w:eastAsia="仿宋"/>
          <w:sz w:val="20"/>
        </w:rPr>
        <w:footnoteRef/>
      </w:r>
      <w:r>
        <w:rPr>
          <w:rFonts w:hint="eastAsia" w:ascii="仿宋" w:hAnsi="仿宋" w:eastAsia="仿宋"/>
          <w:sz w:val="20"/>
        </w:rPr>
        <w:t xml:space="preserve"> </w:t>
      </w:r>
      <w:r>
        <w:rPr>
          <w:rFonts w:hint="eastAsia" w:ascii="仿宋" w:hAnsi="仿宋" w:eastAsia="仿宋"/>
          <w:sz w:val="21"/>
        </w:rPr>
        <w:t>清算面额指结算发生在当期的债券分销、现券买卖、买断式回购首期交割券面额以及质押式回购、债券借贷的首期质押券面额</w:t>
      </w:r>
      <w:r>
        <w:rPr>
          <w:rFonts w:ascii="仿宋" w:hAnsi="仿宋" w:eastAsia="仿宋"/>
          <w:sz w:val="21"/>
        </w:rPr>
        <w:t>。</w:t>
      </w:r>
    </w:p>
  </w:footnote>
  <w:footnote w:id="2">
    <w:p w14:paraId="124222E7">
      <w:pPr>
        <w:pStyle w:val="11"/>
      </w:pPr>
      <w:r>
        <w:rPr>
          <w:rStyle w:val="20"/>
          <w:rFonts w:ascii="仿宋" w:hAnsi="仿宋"/>
          <w:sz w:val="21"/>
        </w:rPr>
        <w:footnoteRef/>
      </w:r>
      <w:r>
        <w:rPr>
          <w:rStyle w:val="20"/>
          <w:rFonts w:ascii="仿宋" w:hAnsi="仿宋"/>
          <w:sz w:val="21"/>
        </w:rPr>
        <w:t xml:space="preserve"> </w:t>
      </w:r>
      <w:r>
        <w:rPr>
          <w:rFonts w:hint="eastAsia" w:ascii="仿宋" w:hAnsi="仿宋" w:eastAsia="仿宋" w:cs="仿宋"/>
          <w:sz w:val="21"/>
        </w:rPr>
        <w:t>现券日均换手率 = 日均清算面额 / [（期初托管余额 + 期末托管余额）/ 2 ] 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4B667">
    <w:pPr>
      <w:pStyle w:val="10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5149E"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9761EE"/>
    <w:multiLevelType w:val="multilevel"/>
    <w:tmpl w:val="3E9761EE"/>
    <w:lvl w:ilvl="0" w:tentative="0">
      <w:start w:val="1"/>
      <w:numFmt w:val="bullet"/>
      <w:lvlText w:val=""/>
      <w:lvlJc w:val="left"/>
      <w:pPr>
        <w:ind w:left="102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trackRevisions w:val="1"/>
  <w:documentProtection w:enforcement="0"/>
  <w:defaultTabStop w:val="420"/>
  <w:evenAndOddHeaders w:val="1"/>
  <w:drawingGridHorizontalSpacing w:val="105"/>
  <w:drawingGridVerticalSpacing w:val="204"/>
  <w:displayHorizontalDrawingGridEvery w:val="1"/>
  <w:displayVerticalDrawingGridEvery w:val="1"/>
  <w:noPunctuationKerning w:val="1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Y2EyZDYxNTk1MGJhN2E4MjExNDMxYTFkZjZjMGEifQ=="/>
  </w:docVars>
  <w:rsids>
    <w:rsidRoot w:val="00E633C0"/>
    <w:rsid w:val="000000A1"/>
    <w:rsid w:val="00000647"/>
    <w:rsid w:val="00000A2A"/>
    <w:rsid w:val="00003D25"/>
    <w:rsid w:val="000043AB"/>
    <w:rsid w:val="00004736"/>
    <w:rsid w:val="00004DC9"/>
    <w:rsid w:val="000054D0"/>
    <w:rsid w:val="00005D3C"/>
    <w:rsid w:val="00006198"/>
    <w:rsid w:val="0000685B"/>
    <w:rsid w:val="0000712D"/>
    <w:rsid w:val="00007A20"/>
    <w:rsid w:val="00011563"/>
    <w:rsid w:val="000116CD"/>
    <w:rsid w:val="00012AE2"/>
    <w:rsid w:val="00012B23"/>
    <w:rsid w:val="000132E4"/>
    <w:rsid w:val="00013687"/>
    <w:rsid w:val="0001408B"/>
    <w:rsid w:val="00014376"/>
    <w:rsid w:val="00014DF5"/>
    <w:rsid w:val="000154C6"/>
    <w:rsid w:val="00015F2E"/>
    <w:rsid w:val="0001654A"/>
    <w:rsid w:val="000169B1"/>
    <w:rsid w:val="00016EB8"/>
    <w:rsid w:val="000171E5"/>
    <w:rsid w:val="000171FF"/>
    <w:rsid w:val="000172C3"/>
    <w:rsid w:val="000205E4"/>
    <w:rsid w:val="00020BF9"/>
    <w:rsid w:val="00020D78"/>
    <w:rsid w:val="00020DD6"/>
    <w:rsid w:val="00021607"/>
    <w:rsid w:val="00021861"/>
    <w:rsid w:val="0002194D"/>
    <w:rsid w:val="00021B31"/>
    <w:rsid w:val="00023739"/>
    <w:rsid w:val="00024000"/>
    <w:rsid w:val="0002418B"/>
    <w:rsid w:val="000241D1"/>
    <w:rsid w:val="00024B4B"/>
    <w:rsid w:val="00024CAC"/>
    <w:rsid w:val="0002506B"/>
    <w:rsid w:val="00026398"/>
    <w:rsid w:val="00026E24"/>
    <w:rsid w:val="00027020"/>
    <w:rsid w:val="0002703F"/>
    <w:rsid w:val="00027502"/>
    <w:rsid w:val="00027631"/>
    <w:rsid w:val="00027A17"/>
    <w:rsid w:val="00027E5A"/>
    <w:rsid w:val="0003018A"/>
    <w:rsid w:val="00030723"/>
    <w:rsid w:val="00030D08"/>
    <w:rsid w:val="00030E8F"/>
    <w:rsid w:val="000314FA"/>
    <w:rsid w:val="00031C6A"/>
    <w:rsid w:val="00032278"/>
    <w:rsid w:val="00032ADF"/>
    <w:rsid w:val="000342A7"/>
    <w:rsid w:val="000342DA"/>
    <w:rsid w:val="00034AEC"/>
    <w:rsid w:val="000353B8"/>
    <w:rsid w:val="0003555F"/>
    <w:rsid w:val="00035764"/>
    <w:rsid w:val="00035AFB"/>
    <w:rsid w:val="00035B86"/>
    <w:rsid w:val="000367F6"/>
    <w:rsid w:val="000369FB"/>
    <w:rsid w:val="000371B7"/>
    <w:rsid w:val="000372AD"/>
    <w:rsid w:val="00037AF1"/>
    <w:rsid w:val="00037BBE"/>
    <w:rsid w:val="00037E80"/>
    <w:rsid w:val="00040B26"/>
    <w:rsid w:val="00041213"/>
    <w:rsid w:val="000414B7"/>
    <w:rsid w:val="0004219B"/>
    <w:rsid w:val="00042C04"/>
    <w:rsid w:val="00042E10"/>
    <w:rsid w:val="000430F4"/>
    <w:rsid w:val="00043B9C"/>
    <w:rsid w:val="00044128"/>
    <w:rsid w:val="00044BAC"/>
    <w:rsid w:val="00045F2D"/>
    <w:rsid w:val="00045F60"/>
    <w:rsid w:val="000464AE"/>
    <w:rsid w:val="0004659D"/>
    <w:rsid w:val="00046B5E"/>
    <w:rsid w:val="00051C45"/>
    <w:rsid w:val="00051C97"/>
    <w:rsid w:val="00052006"/>
    <w:rsid w:val="0005266B"/>
    <w:rsid w:val="000532D2"/>
    <w:rsid w:val="00054FC9"/>
    <w:rsid w:val="00055257"/>
    <w:rsid w:val="00055C5B"/>
    <w:rsid w:val="00055F0C"/>
    <w:rsid w:val="000565DD"/>
    <w:rsid w:val="000566B3"/>
    <w:rsid w:val="00056C6A"/>
    <w:rsid w:val="00056EC7"/>
    <w:rsid w:val="00057C86"/>
    <w:rsid w:val="00057F62"/>
    <w:rsid w:val="000608E7"/>
    <w:rsid w:val="0006093C"/>
    <w:rsid w:val="00060D62"/>
    <w:rsid w:val="00060DAE"/>
    <w:rsid w:val="00060DB3"/>
    <w:rsid w:val="00061180"/>
    <w:rsid w:val="00061C47"/>
    <w:rsid w:val="00061D40"/>
    <w:rsid w:val="00062322"/>
    <w:rsid w:val="0006279C"/>
    <w:rsid w:val="000628A7"/>
    <w:rsid w:val="000632F6"/>
    <w:rsid w:val="00063F64"/>
    <w:rsid w:val="0006439E"/>
    <w:rsid w:val="0006472D"/>
    <w:rsid w:val="00064FC0"/>
    <w:rsid w:val="00064FF0"/>
    <w:rsid w:val="000650CF"/>
    <w:rsid w:val="000653C7"/>
    <w:rsid w:val="00065466"/>
    <w:rsid w:val="000659DC"/>
    <w:rsid w:val="00065B81"/>
    <w:rsid w:val="00065DA3"/>
    <w:rsid w:val="000673F0"/>
    <w:rsid w:val="00067A4C"/>
    <w:rsid w:val="000703A9"/>
    <w:rsid w:val="000707BF"/>
    <w:rsid w:val="00070DBC"/>
    <w:rsid w:val="00071E75"/>
    <w:rsid w:val="000727A4"/>
    <w:rsid w:val="00072A01"/>
    <w:rsid w:val="000738B1"/>
    <w:rsid w:val="0007411D"/>
    <w:rsid w:val="00074234"/>
    <w:rsid w:val="000748E9"/>
    <w:rsid w:val="00074D54"/>
    <w:rsid w:val="0007596F"/>
    <w:rsid w:val="000767B6"/>
    <w:rsid w:val="00076AF0"/>
    <w:rsid w:val="00076DE6"/>
    <w:rsid w:val="00077027"/>
    <w:rsid w:val="00077283"/>
    <w:rsid w:val="00077AC0"/>
    <w:rsid w:val="00077B99"/>
    <w:rsid w:val="00077ED3"/>
    <w:rsid w:val="00077FD9"/>
    <w:rsid w:val="000803DC"/>
    <w:rsid w:val="00080C51"/>
    <w:rsid w:val="000810B9"/>
    <w:rsid w:val="000816F0"/>
    <w:rsid w:val="00081903"/>
    <w:rsid w:val="000823F7"/>
    <w:rsid w:val="000835E3"/>
    <w:rsid w:val="00083C0B"/>
    <w:rsid w:val="00083CCC"/>
    <w:rsid w:val="00083EF5"/>
    <w:rsid w:val="0008623A"/>
    <w:rsid w:val="00086973"/>
    <w:rsid w:val="00086AF0"/>
    <w:rsid w:val="00087F5B"/>
    <w:rsid w:val="00091806"/>
    <w:rsid w:val="000920ED"/>
    <w:rsid w:val="000921F9"/>
    <w:rsid w:val="0009229D"/>
    <w:rsid w:val="000924AD"/>
    <w:rsid w:val="000928D9"/>
    <w:rsid w:val="000948D2"/>
    <w:rsid w:val="000955D5"/>
    <w:rsid w:val="00095951"/>
    <w:rsid w:val="0009651D"/>
    <w:rsid w:val="00096730"/>
    <w:rsid w:val="0009681F"/>
    <w:rsid w:val="00096A1E"/>
    <w:rsid w:val="00096F22"/>
    <w:rsid w:val="000A04CE"/>
    <w:rsid w:val="000A2502"/>
    <w:rsid w:val="000A259D"/>
    <w:rsid w:val="000A30D0"/>
    <w:rsid w:val="000A5005"/>
    <w:rsid w:val="000A5196"/>
    <w:rsid w:val="000A56B5"/>
    <w:rsid w:val="000A5EF3"/>
    <w:rsid w:val="000A5FEA"/>
    <w:rsid w:val="000A6264"/>
    <w:rsid w:val="000A6EC3"/>
    <w:rsid w:val="000A6F11"/>
    <w:rsid w:val="000A71A4"/>
    <w:rsid w:val="000A7A00"/>
    <w:rsid w:val="000B0099"/>
    <w:rsid w:val="000B06CD"/>
    <w:rsid w:val="000B0EDD"/>
    <w:rsid w:val="000B1C34"/>
    <w:rsid w:val="000B1FD3"/>
    <w:rsid w:val="000B21B9"/>
    <w:rsid w:val="000B2267"/>
    <w:rsid w:val="000B2C0D"/>
    <w:rsid w:val="000B2E7F"/>
    <w:rsid w:val="000B34D3"/>
    <w:rsid w:val="000B3EE9"/>
    <w:rsid w:val="000B43C7"/>
    <w:rsid w:val="000B503D"/>
    <w:rsid w:val="000B516D"/>
    <w:rsid w:val="000B5D1E"/>
    <w:rsid w:val="000B688B"/>
    <w:rsid w:val="000B712D"/>
    <w:rsid w:val="000B7AB8"/>
    <w:rsid w:val="000B7C47"/>
    <w:rsid w:val="000B7CFE"/>
    <w:rsid w:val="000B7E5B"/>
    <w:rsid w:val="000C03B7"/>
    <w:rsid w:val="000C059C"/>
    <w:rsid w:val="000C1BED"/>
    <w:rsid w:val="000C1C8D"/>
    <w:rsid w:val="000C1E3F"/>
    <w:rsid w:val="000C2112"/>
    <w:rsid w:val="000C2189"/>
    <w:rsid w:val="000C2764"/>
    <w:rsid w:val="000C2B2C"/>
    <w:rsid w:val="000C319F"/>
    <w:rsid w:val="000C37A3"/>
    <w:rsid w:val="000C3A6F"/>
    <w:rsid w:val="000C43F9"/>
    <w:rsid w:val="000C484A"/>
    <w:rsid w:val="000C4ADC"/>
    <w:rsid w:val="000C5230"/>
    <w:rsid w:val="000C5529"/>
    <w:rsid w:val="000C59B2"/>
    <w:rsid w:val="000C5DA9"/>
    <w:rsid w:val="000C602D"/>
    <w:rsid w:val="000C607A"/>
    <w:rsid w:val="000C65F8"/>
    <w:rsid w:val="000C6612"/>
    <w:rsid w:val="000C6746"/>
    <w:rsid w:val="000C6D76"/>
    <w:rsid w:val="000C7A63"/>
    <w:rsid w:val="000D0468"/>
    <w:rsid w:val="000D0F76"/>
    <w:rsid w:val="000D2A53"/>
    <w:rsid w:val="000D3D68"/>
    <w:rsid w:val="000D4390"/>
    <w:rsid w:val="000D49B5"/>
    <w:rsid w:val="000D51CC"/>
    <w:rsid w:val="000D51E8"/>
    <w:rsid w:val="000D532E"/>
    <w:rsid w:val="000D582A"/>
    <w:rsid w:val="000D650C"/>
    <w:rsid w:val="000D7057"/>
    <w:rsid w:val="000D72E9"/>
    <w:rsid w:val="000D730B"/>
    <w:rsid w:val="000D7E97"/>
    <w:rsid w:val="000E1113"/>
    <w:rsid w:val="000E1972"/>
    <w:rsid w:val="000E1FAD"/>
    <w:rsid w:val="000E2406"/>
    <w:rsid w:val="000E274C"/>
    <w:rsid w:val="000E28FD"/>
    <w:rsid w:val="000E2966"/>
    <w:rsid w:val="000E34F5"/>
    <w:rsid w:val="000E36C4"/>
    <w:rsid w:val="000E387C"/>
    <w:rsid w:val="000E3F3A"/>
    <w:rsid w:val="000E3F72"/>
    <w:rsid w:val="000E4285"/>
    <w:rsid w:val="000E42C9"/>
    <w:rsid w:val="000E4A6E"/>
    <w:rsid w:val="000E4D58"/>
    <w:rsid w:val="000E4F96"/>
    <w:rsid w:val="000E593D"/>
    <w:rsid w:val="000E5CA1"/>
    <w:rsid w:val="000E5F88"/>
    <w:rsid w:val="000E63D9"/>
    <w:rsid w:val="000E6B15"/>
    <w:rsid w:val="000E7365"/>
    <w:rsid w:val="000E7E9E"/>
    <w:rsid w:val="000F0186"/>
    <w:rsid w:val="000F018C"/>
    <w:rsid w:val="000F03ED"/>
    <w:rsid w:val="000F0597"/>
    <w:rsid w:val="000F1543"/>
    <w:rsid w:val="000F1847"/>
    <w:rsid w:val="000F18DF"/>
    <w:rsid w:val="000F1E26"/>
    <w:rsid w:val="000F3A22"/>
    <w:rsid w:val="000F3D79"/>
    <w:rsid w:val="000F3E82"/>
    <w:rsid w:val="000F40F0"/>
    <w:rsid w:val="000F538D"/>
    <w:rsid w:val="000F5636"/>
    <w:rsid w:val="000F57BE"/>
    <w:rsid w:val="000F59DB"/>
    <w:rsid w:val="000F5A82"/>
    <w:rsid w:val="000F5FCA"/>
    <w:rsid w:val="000F64C2"/>
    <w:rsid w:val="000F77F7"/>
    <w:rsid w:val="000F7A31"/>
    <w:rsid w:val="001004AB"/>
    <w:rsid w:val="001005B1"/>
    <w:rsid w:val="00102383"/>
    <w:rsid w:val="001025C8"/>
    <w:rsid w:val="001025ED"/>
    <w:rsid w:val="0010298B"/>
    <w:rsid w:val="001030E8"/>
    <w:rsid w:val="0010355C"/>
    <w:rsid w:val="00103585"/>
    <w:rsid w:val="00103EE7"/>
    <w:rsid w:val="001045EC"/>
    <w:rsid w:val="00104A5B"/>
    <w:rsid w:val="001052C5"/>
    <w:rsid w:val="0010555D"/>
    <w:rsid w:val="001063AD"/>
    <w:rsid w:val="00106716"/>
    <w:rsid w:val="00106CE6"/>
    <w:rsid w:val="00107041"/>
    <w:rsid w:val="001072B5"/>
    <w:rsid w:val="00107460"/>
    <w:rsid w:val="001076CD"/>
    <w:rsid w:val="00107A4E"/>
    <w:rsid w:val="00107CD0"/>
    <w:rsid w:val="00111AAE"/>
    <w:rsid w:val="001128F3"/>
    <w:rsid w:val="001128F9"/>
    <w:rsid w:val="00113163"/>
    <w:rsid w:val="001142AA"/>
    <w:rsid w:val="00115303"/>
    <w:rsid w:val="001161CC"/>
    <w:rsid w:val="001165C6"/>
    <w:rsid w:val="00116D4A"/>
    <w:rsid w:val="00116DDB"/>
    <w:rsid w:val="001172D4"/>
    <w:rsid w:val="001177A4"/>
    <w:rsid w:val="00117847"/>
    <w:rsid w:val="0012003D"/>
    <w:rsid w:val="0012129B"/>
    <w:rsid w:val="00121409"/>
    <w:rsid w:val="00121E06"/>
    <w:rsid w:val="00122B8E"/>
    <w:rsid w:val="00122CA2"/>
    <w:rsid w:val="00122D84"/>
    <w:rsid w:val="00123A25"/>
    <w:rsid w:val="00123BD0"/>
    <w:rsid w:val="00123D33"/>
    <w:rsid w:val="00123F9D"/>
    <w:rsid w:val="0012472E"/>
    <w:rsid w:val="0012475B"/>
    <w:rsid w:val="00124765"/>
    <w:rsid w:val="00125A6C"/>
    <w:rsid w:val="00125F01"/>
    <w:rsid w:val="0012658F"/>
    <w:rsid w:val="001266D9"/>
    <w:rsid w:val="00126ECB"/>
    <w:rsid w:val="001276FA"/>
    <w:rsid w:val="001278D3"/>
    <w:rsid w:val="00127A0D"/>
    <w:rsid w:val="00127CC3"/>
    <w:rsid w:val="00127F9B"/>
    <w:rsid w:val="00131640"/>
    <w:rsid w:val="001318ED"/>
    <w:rsid w:val="0013250A"/>
    <w:rsid w:val="0013307F"/>
    <w:rsid w:val="00133341"/>
    <w:rsid w:val="00133FA9"/>
    <w:rsid w:val="001346A0"/>
    <w:rsid w:val="001351E8"/>
    <w:rsid w:val="001351F1"/>
    <w:rsid w:val="00135311"/>
    <w:rsid w:val="0013588C"/>
    <w:rsid w:val="00135DDF"/>
    <w:rsid w:val="00135EB6"/>
    <w:rsid w:val="00136839"/>
    <w:rsid w:val="0013733F"/>
    <w:rsid w:val="00137542"/>
    <w:rsid w:val="00137726"/>
    <w:rsid w:val="00137974"/>
    <w:rsid w:val="001379B1"/>
    <w:rsid w:val="00137A50"/>
    <w:rsid w:val="00140DDE"/>
    <w:rsid w:val="001410A8"/>
    <w:rsid w:val="001412DE"/>
    <w:rsid w:val="001417FC"/>
    <w:rsid w:val="00143C89"/>
    <w:rsid w:val="00143EAA"/>
    <w:rsid w:val="00144809"/>
    <w:rsid w:val="001460C9"/>
    <w:rsid w:val="00146281"/>
    <w:rsid w:val="00146640"/>
    <w:rsid w:val="001469B2"/>
    <w:rsid w:val="00146B97"/>
    <w:rsid w:val="00147451"/>
    <w:rsid w:val="00147CAD"/>
    <w:rsid w:val="00151361"/>
    <w:rsid w:val="00151687"/>
    <w:rsid w:val="00151848"/>
    <w:rsid w:val="001525AF"/>
    <w:rsid w:val="0015270E"/>
    <w:rsid w:val="00152FCB"/>
    <w:rsid w:val="00152FE5"/>
    <w:rsid w:val="0015329D"/>
    <w:rsid w:val="00153E3C"/>
    <w:rsid w:val="00154B64"/>
    <w:rsid w:val="00155590"/>
    <w:rsid w:val="00156230"/>
    <w:rsid w:val="001565B7"/>
    <w:rsid w:val="00156B46"/>
    <w:rsid w:val="00157644"/>
    <w:rsid w:val="001578DF"/>
    <w:rsid w:val="00157F16"/>
    <w:rsid w:val="00160105"/>
    <w:rsid w:val="00160AA0"/>
    <w:rsid w:val="00161653"/>
    <w:rsid w:val="00161F24"/>
    <w:rsid w:val="00161F85"/>
    <w:rsid w:val="0016292A"/>
    <w:rsid w:val="00162E01"/>
    <w:rsid w:val="0016308F"/>
    <w:rsid w:val="001632A7"/>
    <w:rsid w:val="00164BCB"/>
    <w:rsid w:val="00164BFB"/>
    <w:rsid w:val="00165130"/>
    <w:rsid w:val="00165824"/>
    <w:rsid w:val="001658F8"/>
    <w:rsid w:val="00165C26"/>
    <w:rsid w:val="001664CA"/>
    <w:rsid w:val="00166C2A"/>
    <w:rsid w:val="00166E61"/>
    <w:rsid w:val="00170B8C"/>
    <w:rsid w:val="00170BF2"/>
    <w:rsid w:val="00170C75"/>
    <w:rsid w:val="0017168E"/>
    <w:rsid w:val="00171A72"/>
    <w:rsid w:val="0017209D"/>
    <w:rsid w:val="0017220B"/>
    <w:rsid w:val="001729DF"/>
    <w:rsid w:val="00174B80"/>
    <w:rsid w:val="00174C57"/>
    <w:rsid w:val="00175269"/>
    <w:rsid w:val="00175F2A"/>
    <w:rsid w:val="00176279"/>
    <w:rsid w:val="00176661"/>
    <w:rsid w:val="001766E7"/>
    <w:rsid w:val="00176F94"/>
    <w:rsid w:val="00177124"/>
    <w:rsid w:val="001774B0"/>
    <w:rsid w:val="00177F5D"/>
    <w:rsid w:val="00180FC9"/>
    <w:rsid w:val="00181B2A"/>
    <w:rsid w:val="00181BBA"/>
    <w:rsid w:val="00182597"/>
    <w:rsid w:val="001826E1"/>
    <w:rsid w:val="00182B91"/>
    <w:rsid w:val="00182DA4"/>
    <w:rsid w:val="00182E7D"/>
    <w:rsid w:val="001854BF"/>
    <w:rsid w:val="00185B42"/>
    <w:rsid w:val="0018631B"/>
    <w:rsid w:val="001864EB"/>
    <w:rsid w:val="001865BC"/>
    <w:rsid w:val="00186CB9"/>
    <w:rsid w:val="00186DDB"/>
    <w:rsid w:val="00186F3B"/>
    <w:rsid w:val="00187234"/>
    <w:rsid w:val="00187750"/>
    <w:rsid w:val="00187AC1"/>
    <w:rsid w:val="00187BA6"/>
    <w:rsid w:val="00190BDD"/>
    <w:rsid w:val="00190EC4"/>
    <w:rsid w:val="00190FED"/>
    <w:rsid w:val="00191081"/>
    <w:rsid w:val="00191309"/>
    <w:rsid w:val="001915D5"/>
    <w:rsid w:val="001917EA"/>
    <w:rsid w:val="00191AFF"/>
    <w:rsid w:val="00191BFB"/>
    <w:rsid w:val="0019410D"/>
    <w:rsid w:val="0019459F"/>
    <w:rsid w:val="0019492D"/>
    <w:rsid w:val="00195947"/>
    <w:rsid w:val="00195AF4"/>
    <w:rsid w:val="00195D73"/>
    <w:rsid w:val="00195E31"/>
    <w:rsid w:val="00196147"/>
    <w:rsid w:val="001971F9"/>
    <w:rsid w:val="001A047D"/>
    <w:rsid w:val="001A0F8A"/>
    <w:rsid w:val="001A10B8"/>
    <w:rsid w:val="001A1A06"/>
    <w:rsid w:val="001A2347"/>
    <w:rsid w:val="001A269D"/>
    <w:rsid w:val="001A28F8"/>
    <w:rsid w:val="001A2AA8"/>
    <w:rsid w:val="001A2CC1"/>
    <w:rsid w:val="001A2D3D"/>
    <w:rsid w:val="001A2D94"/>
    <w:rsid w:val="001A2F40"/>
    <w:rsid w:val="001A3173"/>
    <w:rsid w:val="001A36E6"/>
    <w:rsid w:val="001A4B9E"/>
    <w:rsid w:val="001A4F07"/>
    <w:rsid w:val="001A5349"/>
    <w:rsid w:val="001A5CA3"/>
    <w:rsid w:val="001A5F37"/>
    <w:rsid w:val="001A6281"/>
    <w:rsid w:val="001A66E7"/>
    <w:rsid w:val="001A6A34"/>
    <w:rsid w:val="001A6AA9"/>
    <w:rsid w:val="001A6E80"/>
    <w:rsid w:val="001B0E5E"/>
    <w:rsid w:val="001B1894"/>
    <w:rsid w:val="001B1C89"/>
    <w:rsid w:val="001B1DC8"/>
    <w:rsid w:val="001B2494"/>
    <w:rsid w:val="001B24F1"/>
    <w:rsid w:val="001B273F"/>
    <w:rsid w:val="001B3502"/>
    <w:rsid w:val="001B3631"/>
    <w:rsid w:val="001B4D07"/>
    <w:rsid w:val="001B514E"/>
    <w:rsid w:val="001B5EA8"/>
    <w:rsid w:val="001B5ED2"/>
    <w:rsid w:val="001B5EF4"/>
    <w:rsid w:val="001B6767"/>
    <w:rsid w:val="001C03C3"/>
    <w:rsid w:val="001C0843"/>
    <w:rsid w:val="001C09B3"/>
    <w:rsid w:val="001C0A61"/>
    <w:rsid w:val="001C0DC0"/>
    <w:rsid w:val="001C0EA0"/>
    <w:rsid w:val="001C2CEB"/>
    <w:rsid w:val="001C304B"/>
    <w:rsid w:val="001C39CA"/>
    <w:rsid w:val="001C3D8C"/>
    <w:rsid w:val="001C4235"/>
    <w:rsid w:val="001C45DD"/>
    <w:rsid w:val="001C47C8"/>
    <w:rsid w:val="001C4AC1"/>
    <w:rsid w:val="001C522A"/>
    <w:rsid w:val="001C54F8"/>
    <w:rsid w:val="001C61C3"/>
    <w:rsid w:val="001C6324"/>
    <w:rsid w:val="001C7A82"/>
    <w:rsid w:val="001C7C8B"/>
    <w:rsid w:val="001D04D9"/>
    <w:rsid w:val="001D0A75"/>
    <w:rsid w:val="001D0E3A"/>
    <w:rsid w:val="001D292F"/>
    <w:rsid w:val="001D2EB8"/>
    <w:rsid w:val="001D3352"/>
    <w:rsid w:val="001D3454"/>
    <w:rsid w:val="001D34D1"/>
    <w:rsid w:val="001D3727"/>
    <w:rsid w:val="001D3EB3"/>
    <w:rsid w:val="001D3FAC"/>
    <w:rsid w:val="001D4033"/>
    <w:rsid w:val="001D4055"/>
    <w:rsid w:val="001D5025"/>
    <w:rsid w:val="001D5089"/>
    <w:rsid w:val="001D5271"/>
    <w:rsid w:val="001D55EA"/>
    <w:rsid w:val="001D566D"/>
    <w:rsid w:val="001D66FE"/>
    <w:rsid w:val="001D6B71"/>
    <w:rsid w:val="001D6C35"/>
    <w:rsid w:val="001D77D4"/>
    <w:rsid w:val="001D79AB"/>
    <w:rsid w:val="001E139F"/>
    <w:rsid w:val="001E150C"/>
    <w:rsid w:val="001E1B0F"/>
    <w:rsid w:val="001E2537"/>
    <w:rsid w:val="001E26F3"/>
    <w:rsid w:val="001E2A19"/>
    <w:rsid w:val="001E2DC0"/>
    <w:rsid w:val="001E2E5B"/>
    <w:rsid w:val="001E3689"/>
    <w:rsid w:val="001E380B"/>
    <w:rsid w:val="001E38C7"/>
    <w:rsid w:val="001E4079"/>
    <w:rsid w:val="001E55BD"/>
    <w:rsid w:val="001E5F89"/>
    <w:rsid w:val="001E662B"/>
    <w:rsid w:val="001E6698"/>
    <w:rsid w:val="001E69A4"/>
    <w:rsid w:val="001E72ED"/>
    <w:rsid w:val="001E7368"/>
    <w:rsid w:val="001E74D7"/>
    <w:rsid w:val="001E74E9"/>
    <w:rsid w:val="001E77EC"/>
    <w:rsid w:val="001E7C71"/>
    <w:rsid w:val="001F0697"/>
    <w:rsid w:val="001F077D"/>
    <w:rsid w:val="001F10FA"/>
    <w:rsid w:val="001F157B"/>
    <w:rsid w:val="001F21FD"/>
    <w:rsid w:val="001F25C5"/>
    <w:rsid w:val="001F318A"/>
    <w:rsid w:val="001F39DC"/>
    <w:rsid w:val="001F3B6F"/>
    <w:rsid w:val="001F3C1D"/>
    <w:rsid w:val="001F5C4B"/>
    <w:rsid w:val="001F5E63"/>
    <w:rsid w:val="001F63E1"/>
    <w:rsid w:val="001F6592"/>
    <w:rsid w:val="001F677F"/>
    <w:rsid w:val="001F6D88"/>
    <w:rsid w:val="001F7CC5"/>
    <w:rsid w:val="001F7F72"/>
    <w:rsid w:val="002005B2"/>
    <w:rsid w:val="002019A3"/>
    <w:rsid w:val="002019F6"/>
    <w:rsid w:val="002035AA"/>
    <w:rsid w:val="002046DF"/>
    <w:rsid w:val="00204884"/>
    <w:rsid w:val="00204E64"/>
    <w:rsid w:val="0020502F"/>
    <w:rsid w:val="0020554F"/>
    <w:rsid w:val="00205707"/>
    <w:rsid w:val="00205B01"/>
    <w:rsid w:val="00206849"/>
    <w:rsid w:val="00206EEC"/>
    <w:rsid w:val="00207F75"/>
    <w:rsid w:val="002102EA"/>
    <w:rsid w:val="0021085B"/>
    <w:rsid w:val="00210EB4"/>
    <w:rsid w:val="00211082"/>
    <w:rsid w:val="00211107"/>
    <w:rsid w:val="002120A1"/>
    <w:rsid w:val="0021235A"/>
    <w:rsid w:val="00212E10"/>
    <w:rsid w:val="002133F3"/>
    <w:rsid w:val="0021440E"/>
    <w:rsid w:val="002148ED"/>
    <w:rsid w:val="0021495B"/>
    <w:rsid w:val="00214BF4"/>
    <w:rsid w:val="00215486"/>
    <w:rsid w:val="002167A6"/>
    <w:rsid w:val="00217792"/>
    <w:rsid w:val="002177B2"/>
    <w:rsid w:val="002206EB"/>
    <w:rsid w:val="0022093E"/>
    <w:rsid w:val="00220D45"/>
    <w:rsid w:val="002211AF"/>
    <w:rsid w:val="0022135A"/>
    <w:rsid w:val="002219D4"/>
    <w:rsid w:val="00221D6E"/>
    <w:rsid w:val="00221DF2"/>
    <w:rsid w:val="00221F94"/>
    <w:rsid w:val="002228D7"/>
    <w:rsid w:val="0022300C"/>
    <w:rsid w:val="002230AF"/>
    <w:rsid w:val="002232BD"/>
    <w:rsid w:val="0022364E"/>
    <w:rsid w:val="00223BB7"/>
    <w:rsid w:val="0022490F"/>
    <w:rsid w:val="00225E69"/>
    <w:rsid w:val="002264CB"/>
    <w:rsid w:val="00226551"/>
    <w:rsid w:val="002274AC"/>
    <w:rsid w:val="0022769F"/>
    <w:rsid w:val="00227D57"/>
    <w:rsid w:val="00227E6F"/>
    <w:rsid w:val="00232D75"/>
    <w:rsid w:val="00232DDA"/>
    <w:rsid w:val="00233D08"/>
    <w:rsid w:val="002342A2"/>
    <w:rsid w:val="002342C3"/>
    <w:rsid w:val="00235BE2"/>
    <w:rsid w:val="0023711F"/>
    <w:rsid w:val="00237B54"/>
    <w:rsid w:val="00240025"/>
    <w:rsid w:val="00241F66"/>
    <w:rsid w:val="00242280"/>
    <w:rsid w:val="002425AC"/>
    <w:rsid w:val="00243880"/>
    <w:rsid w:val="002438D7"/>
    <w:rsid w:val="002449D6"/>
    <w:rsid w:val="00245372"/>
    <w:rsid w:val="002463BE"/>
    <w:rsid w:val="0024655D"/>
    <w:rsid w:val="002469A8"/>
    <w:rsid w:val="0024743A"/>
    <w:rsid w:val="0024779E"/>
    <w:rsid w:val="00251520"/>
    <w:rsid w:val="00251B36"/>
    <w:rsid w:val="00252586"/>
    <w:rsid w:val="00252FAD"/>
    <w:rsid w:val="002530D9"/>
    <w:rsid w:val="0025370A"/>
    <w:rsid w:val="00253B1A"/>
    <w:rsid w:val="002541C3"/>
    <w:rsid w:val="00254413"/>
    <w:rsid w:val="002546F4"/>
    <w:rsid w:val="0025480A"/>
    <w:rsid w:val="00254F54"/>
    <w:rsid w:val="00255CE3"/>
    <w:rsid w:val="0025679B"/>
    <w:rsid w:val="00256E1D"/>
    <w:rsid w:val="00256ED0"/>
    <w:rsid w:val="00256FAF"/>
    <w:rsid w:val="0025773D"/>
    <w:rsid w:val="00257AF3"/>
    <w:rsid w:val="00257BB4"/>
    <w:rsid w:val="00260224"/>
    <w:rsid w:val="002608E8"/>
    <w:rsid w:val="00260B03"/>
    <w:rsid w:val="00261047"/>
    <w:rsid w:val="00261182"/>
    <w:rsid w:val="0026245F"/>
    <w:rsid w:val="002626CA"/>
    <w:rsid w:val="00265434"/>
    <w:rsid w:val="00265572"/>
    <w:rsid w:val="0026572B"/>
    <w:rsid w:val="00265881"/>
    <w:rsid w:val="00265A06"/>
    <w:rsid w:val="00265CC3"/>
    <w:rsid w:val="00265F30"/>
    <w:rsid w:val="002666AB"/>
    <w:rsid w:val="00266748"/>
    <w:rsid w:val="00267083"/>
    <w:rsid w:val="0026785D"/>
    <w:rsid w:val="0026794F"/>
    <w:rsid w:val="002701B4"/>
    <w:rsid w:val="00270214"/>
    <w:rsid w:val="00270D95"/>
    <w:rsid w:val="00271779"/>
    <w:rsid w:val="002722B5"/>
    <w:rsid w:val="002727E0"/>
    <w:rsid w:val="002728BB"/>
    <w:rsid w:val="00272A42"/>
    <w:rsid w:val="00272AC8"/>
    <w:rsid w:val="00273721"/>
    <w:rsid w:val="00273998"/>
    <w:rsid w:val="002743A0"/>
    <w:rsid w:val="002746C1"/>
    <w:rsid w:val="002753A0"/>
    <w:rsid w:val="00275ECE"/>
    <w:rsid w:val="00275FAB"/>
    <w:rsid w:val="002761ED"/>
    <w:rsid w:val="00276453"/>
    <w:rsid w:val="00277145"/>
    <w:rsid w:val="00277418"/>
    <w:rsid w:val="00277801"/>
    <w:rsid w:val="00277BF9"/>
    <w:rsid w:val="0028068A"/>
    <w:rsid w:val="002812D3"/>
    <w:rsid w:val="002820ED"/>
    <w:rsid w:val="00282314"/>
    <w:rsid w:val="002823B3"/>
    <w:rsid w:val="00282714"/>
    <w:rsid w:val="00282A8C"/>
    <w:rsid w:val="00282E9F"/>
    <w:rsid w:val="00283C55"/>
    <w:rsid w:val="00283F18"/>
    <w:rsid w:val="00284A7A"/>
    <w:rsid w:val="00284C8B"/>
    <w:rsid w:val="00284F68"/>
    <w:rsid w:val="00285C2C"/>
    <w:rsid w:val="00285FA7"/>
    <w:rsid w:val="00286342"/>
    <w:rsid w:val="00286931"/>
    <w:rsid w:val="00286BA7"/>
    <w:rsid w:val="002878FD"/>
    <w:rsid w:val="00287B8A"/>
    <w:rsid w:val="00290F84"/>
    <w:rsid w:val="00291531"/>
    <w:rsid w:val="002916C8"/>
    <w:rsid w:val="002916D7"/>
    <w:rsid w:val="00291B49"/>
    <w:rsid w:val="00291E7B"/>
    <w:rsid w:val="0029349C"/>
    <w:rsid w:val="002942C3"/>
    <w:rsid w:val="002947C7"/>
    <w:rsid w:val="00294846"/>
    <w:rsid w:val="00294A54"/>
    <w:rsid w:val="00294D35"/>
    <w:rsid w:val="00294EA4"/>
    <w:rsid w:val="00294F82"/>
    <w:rsid w:val="00296627"/>
    <w:rsid w:val="00297A42"/>
    <w:rsid w:val="002A00CC"/>
    <w:rsid w:val="002A04CB"/>
    <w:rsid w:val="002A0C60"/>
    <w:rsid w:val="002A11CE"/>
    <w:rsid w:val="002A1951"/>
    <w:rsid w:val="002A2157"/>
    <w:rsid w:val="002A284F"/>
    <w:rsid w:val="002A35F3"/>
    <w:rsid w:val="002A4A53"/>
    <w:rsid w:val="002A4C0B"/>
    <w:rsid w:val="002A5079"/>
    <w:rsid w:val="002A54EC"/>
    <w:rsid w:val="002A568B"/>
    <w:rsid w:val="002A5B86"/>
    <w:rsid w:val="002A60C6"/>
    <w:rsid w:val="002A6F7F"/>
    <w:rsid w:val="002A70C2"/>
    <w:rsid w:val="002A7183"/>
    <w:rsid w:val="002B05FC"/>
    <w:rsid w:val="002B0654"/>
    <w:rsid w:val="002B15C6"/>
    <w:rsid w:val="002B18AA"/>
    <w:rsid w:val="002B1C37"/>
    <w:rsid w:val="002B29CD"/>
    <w:rsid w:val="002B2E08"/>
    <w:rsid w:val="002B37FD"/>
    <w:rsid w:val="002B40E5"/>
    <w:rsid w:val="002B47B6"/>
    <w:rsid w:val="002B5705"/>
    <w:rsid w:val="002B58B6"/>
    <w:rsid w:val="002B5B23"/>
    <w:rsid w:val="002B5D0F"/>
    <w:rsid w:val="002B5FFA"/>
    <w:rsid w:val="002B617E"/>
    <w:rsid w:val="002B6665"/>
    <w:rsid w:val="002B675F"/>
    <w:rsid w:val="002B6941"/>
    <w:rsid w:val="002B6F26"/>
    <w:rsid w:val="002B6FED"/>
    <w:rsid w:val="002B7508"/>
    <w:rsid w:val="002B755D"/>
    <w:rsid w:val="002B7B1F"/>
    <w:rsid w:val="002B7E42"/>
    <w:rsid w:val="002C050A"/>
    <w:rsid w:val="002C0538"/>
    <w:rsid w:val="002C0AB6"/>
    <w:rsid w:val="002C121F"/>
    <w:rsid w:val="002C1850"/>
    <w:rsid w:val="002C255D"/>
    <w:rsid w:val="002C2BB4"/>
    <w:rsid w:val="002C3352"/>
    <w:rsid w:val="002C3454"/>
    <w:rsid w:val="002C36A2"/>
    <w:rsid w:val="002C6295"/>
    <w:rsid w:val="002C658D"/>
    <w:rsid w:val="002C65C2"/>
    <w:rsid w:val="002C6A2C"/>
    <w:rsid w:val="002C6F05"/>
    <w:rsid w:val="002C7482"/>
    <w:rsid w:val="002D147C"/>
    <w:rsid w:val="002D1B9C"/>
    <w:rsid w:val="002D2B83"/>
    <w:rsid w:val="002D2F47"/>
    <w:rsid w:val="002D3225"/>
    <w:rsid w:val="002D39F6"/>
    <w:rsid w:val="002D5117"/>
    <w:rsid w:val="002D59AE"/>
    <w:rsid w:val="002D6B69"/>
    <w:rsid w:val="002D7AD5"/>
    <w:rsid w:val="002E1B63"/>
    <w:rsid w:val="002E1F8F"/>
    <w:rsid w:val="002E2BF5"/>
    <w:rsid w:val="002E35B4"/>
    <w:rsid w:val="002E36BC"/>
    <w:rsid w:val="002E42F3"/>
    <w:rsid w:val="002E4EC6"/>
    <w:rsid w:val="002E4F45"/>
    <w:rsid w:val="002E5628"/>
    <w:rsid w:val="002E5C16"/>
    <w:rsid w:val="002E5F13"/>
    <w:rsid w:val="002E715B"/>
    <w:rsid w:val="002E7256"/>
    <w:rsid w:val="002E73F9"/>
    <w:rsid w:val="002E74C7"/>
    <w:rsid w:val="002E7720"/>
    <w:rsid w:val="002E7FC3"/>
    <w:rsid w:val="002F05BF"/>
    <w:rsid w:val="002F07F4"/>
    <w:rsid w:val="002F12BD"/>
    <w:rsid w:val="002F17A8"/>
    <w:rsid w:val="002F1FA7"/>
    <w:rsid w:val="002F22B3"/>
    <w:rsid w:val="002F28A1"/>
    <w:rsid w:val="002F3354"/>
    <w:rsid w:val="002F49A7"/>
    <w:rsid w:val="002F4CE5"/>
    <w:rsid w:val="002F502B"/>
    <w:rsid w:val="002F6173"/>
    <w:rsid w:val="00300728"/>
    <w:rsid w:val="00300773"/>
    <w:rsid w:val="00302EA4"/>
    <w:rsid w:val="00303617"/>
    <w:rsid w:val="00303845"/>
    <w:rsid w:val="0030558C"/>
    <w:rsid w:val="00305795"/>
    <w:rsid w:val="00305F16"/>
    <w:rsid w:val="0030606E"/>
    <w:rsid w:val="00306C9F"/>
    <w:rsid w:val="00307559"/>
    <w:rsid w:val="0030796B"/>
    <w:rsid w:val="00307B10"/>
    <w:rsid w:val="00310636"/>
    <w:rsid w:val="0031092C"/>
    <w:rsid w:val="00311A52"/>
    <w:rsid w:val="00311C73"/>
    <w:rsid w:val="00312518"/>
    <w:rsid w:val="003128C1"/>
    <w:rsid w:val="00313027"/>
    <w:rsid w:val="003133A1"/>
    <w:rsid w:val="00313446"/>
    <w:rsid w:val="00313E4C"/>
    <w:rsid w:val="00314371"/>
    <w:rsid w:val="003145B7"/>
    <w:rsid w:val="00314E05"/>
    <w:rsid w:val="003156BB"/>
    <w:rsid w:val="00316592"/>
    <w:rsid w:val="00316E14"/>
    <w:rsid w:val="00316EAF"/>
    <w:rsid w:val="00317260"/>
    <w:rsid w:val="00317418"/>
    <w:rsid w:val="003174A9"/>
    <w:rsid w:val="00317A46"/>
    <w:rsid w:val="00321163"/>
    <w:rsid w:val="0032166B"/>
    <w:rsid w:val="00321D27"/>
    <w:rsid w:val="00321DF4"/>
    <w:rsid w:val="0032203E"/>
    <w:rsid w:val="00322D8D"/>
    <w:rsid w:val="00323CAD"/>
    <w:rsid w:val="0032495F"/>
    <w:rsid w:val="00325E11"/>
    <w:rsid w:val="0032662F"/>
    <w:rsid w:val="00326878"/>
    <w:rsid w:val="0032740D"/>
    <w:rsid w:val="0032750B"/>
    <w:rsid w:val="00327581"/>
    <w:rsid w:val="00327623"/>
    <w:rsid w:val="00327AB5"/>
    <w:rsid w:val="00327DDB"/>
    <w:rsid w:val="00330D0E"/>
    <w:rsid w:val="00330D8D"/>
    <w:rsid w:val="00330FE2"/>
    <w:rsid w:val="003323EC"/>
    <w:rsid w:val="003325DC"/>
    <w:rsid w:val="00332D4D"/>
    <w:rsid w:val="003330BA"/>
    <w:rsid w:val="003330CE"/>
    <w:rsid w:val="003347CF"/>
    <w:rsid w:val="003350FC"/>
    <w:rsid w:val="003356B5"/>
    <w:rsid w:val="003358E0"/>
    <w:rsid w:val="00335FE8"/>
    <w:rsid w:val="00336565"/>
    <w:rsid w:val="0033662D"/>
    <w:rsid w:val="003366C0"/>
    <w:rsid w:val="00336707"/>
    <w:rsid w:val="00336933"/>
    <w:rsid w:val="00336AC6"/>
    <w:rsid w:val="00336EAB"/>
    <w:rsid w:val="003377B2"/>
    <w:rsid w:val="00337A1B"/>
    <w:rsid w:val="00337B58"/>
    <w:rsid w:val="00337EAC"/>
    <w:rsid w:val="003408A4"/>
    <w:rsid w:val="00341934"/>
    <w:rsid w:val="00341DF8"/>
    <w:rsid w:val="00341E11"/>
    <w:rsid w:val="003420D6"/>
    <w:rsid w:val="00342474"/>
    <w:rsid w:val="003435C6"/>
    <w:rsid w:val="00343FC9"/>
    <w:rsid w:val="0034431A"/>
    <w:rsid w:val="003446BF"/>
    <w:rsid w:val="003446DC"/>
    <w:rsid w:val="00344DBF"/>
    <w:rsid w:val="003456C0"/>
    <w:rsid w:val="00345A55"/>
    <w:rsid w:val="00346089"/>
    <w:rsid w:val="00346292"/>
    <w:rsid w:val="00346AAF"/>
    <w:rsid w:val="003472B5"/>
    <w:rsid w:val="003475C9"/>
    <w:rsid w:val="0034781F"/>
    <w:rsid w:val="00347B43"/>
    <w:rsid w:val="00347F1E"/>
    <w:rsid w:val="0035009F"/>
    <w:rsid w:val="003502EE"/>
    <w:rsid w:val="003505B9"/>
    <w:rsid w:val="003510D5"/>
    <w:rsid w:val="003512C2"/>
    <w:rsid w:val="0035130B"/>
    <w:rsid w:val="00351E70"/>
    <w:rsid w:val="003521AD"/>
    <w:rsid w:val="00352557"/>
    <w:rsid w:val="003526FC"/>
    <w:rsid w:val="00353650"/>
    <w:rsid w:val="00353A52"/>
    <w:rsid w:val="00354C7A"/>
    <w:rsid w:val="003557DA"/>
    <w:rsid w:val="00355E60"/>
    <w:rsid w:val="00357967"/>
    <w:rsid w:val="00357D65"/>
    <w:rsid w:val="003602EC"/>
    <w:rsid w:val="00361A4D"/>
    <w:rsid w:val="00361C54"/>
    <w:rsid w:val="00361DFD"/>
    <w:rsid w:val="00361E94"/>
    <w:rsid w:val="00362E70"/>
    <w:rsid w:val="00363330"/>
    <w:rsid w:val="00363FAE"/>
    <w:rsid w:val="00364211"/>
    <w:rsid w:val="0036509E"/>
    <w:rsid w:val="0036600A"/>
    <w:rsid w:val="0036762E"/>
    <w:rsid w:val="0036772F"/>
    <w:rsid w:val="0036784E"/>
    <w:rsid w:val="003701A4"/>
    <w:rsid w:val="00371F12"/>
    <w:rsid w:val="00371F1C"/>
    <w:rsid w:val="0037203C"/>
    <w:rsid w:val="00372215"/>
    <w:rsid w:val="003740D0"/>
    <w:rsid w:val="00374218"/>
    <w:rsid w:val="00374E3C"/>
    <w:rsid w:val="00375AED"/>
    <w:rsid w:val="003775A4"/>
    <w:rsid w:val="003805C1"/>
    <w:rsid w:val="003807C1"/>
    <w:rsid w:val="003828F8"/>
    <w:rsid w:val="00382F4B"/>
    <w:rsid w:val="00382FE6"/>
    <w:rsid w:val="00383593"/>
    <w:rsid w:val="0038428C"/>
    <w:rsid w:val="00384A40"/>
    <w:rsid w:val="003857F3"/>
    <w:rsid w:val="00385BD8"/>
    <w:rsid w:val="00386543"/>
    <w:rsid w:val="00386DA9"/>
    <w:rsid w:val="0038714D"/>
    <w:rsid w:val="003871FB"/>
    <w:rsid w:val="003873EE"/>
    <w:rsid w:val="00387AE5"/>
    <w:rsid w:val="003906A2"/>
    <w:rsid w:val="00390F92"/>
    <w:rsid w:val="00391A40"/>
    <w:rsid w:val="00391E95"/>
    <w:rsid w:val="00391EE4"/>
    <w:rsid w:val="00391FF6"/>
    <w:rsid w:val="003921DA"/>
    <w:rsid w:val="003921FF"/>
    <w:rsid w:val="003926F9"/>
    <w:rsid w:val="00393463"/>
    <w:rsid w:val="00393994"/>
    <w:rsid w:val="0039429E"/>
    <w:rsid w:val="003945F9"/>
    <w:rsid w:val="00394C85"/>
    <w:rsid w:val="00396465"/>
    <w:rsid w:val="003964FB"/>
    <w:rsid w:val="00396638"/>
    <w:rsid w:val="00396722"/>
    <w:rsid w:val="00396BCE"/>
    <w:rsid w:val="00396BDB"/>
    <w:rsid w:val="003976E4"/>
    <w:rsid w:val="00397FFB"/>
    <w:rsid w:val="003A0226"/>
    <w:rsid w:val="003A03AB"/>
    <w:rsid w:val="003A1798"/>
    <w:rsid w:val="003A1BF0"/>
    <w:rsid w:val="003A2005"/>
    <w:rsid w:val="003A3911"/>
    <w:rsid w:val="003A486E"/>
    <w:rsid w:val="003A50BF"/>
    <w:rsid w:val="003A6429"/>
    <w:rsid w:val="003A7A69"/>
    <w:rsid w:val="003A7B2D"/>
    <w:rsid w:val="003A7B40"/>
    <w:rsid w:val="003A7F58"/>
    <w:rsid w:val="003B0144"/>
    <w:rsid w:val="003B06F1"/>
    <w:rsid w:val="003B116B"/>
    <w:rsid w:val="003B1266"/>
    <w:rsid w:val="003B1543"/>
    <w:rsid w:val="003B1F62"/>
    <w:rsid w:val="003B1F64"/>
    <w:rsid w:val="003B2975"/>
    <w:rsid w:val="003B2AB9"/>
    <w:rsid w:val="003B3468"/>
    <w:rsid w:val="003B36FF"/>
    <w:rsid w:val="003B37B0"/>
    <w:rsid w:val="003B3959"/>
    <w:rsid w:val="003B402B"/>
    <w:rsid w:val="003B4070"/>
    <w:rsid w:val="003B6058"/>
    <w:rsid w:val="003B681C"/>
    <w:rsid w:val="003B6B5F"/>
    <w:rsid w:val="003B781C"/>
    <w:rsid w:val="003B7C38"/>
    <w:rsid w:val="003C006C"/>
    <w:rsid w:val="003C00C4"/>
    <w:rsid w:val="003C02E6"/>
    <w:rsid w:val="003C0349"/>
    <w:rsid w:val="003C05D9"/>
    <w:rsid w:val="003C0EB3"/>
    <w:rsid w:val="003C180A"/>
    <w:rsid w:val="003C209D"/>
    <w:rsid w:val="003C2192"/>
    <w:rsid w:val="003C219E"/>
    <w:rsid w:val="003C22D9"/>
    <w:rsid w:val="003C25E8"/>
    <w:rsid w:val="003C276C"/>
    <w:rsid w:val="003C506A"/>
    <w:rsid w:val="003C517B"/>
    <w:rsid w:val="003C58A6"/>
    <w:rsid w:val="003C6AAE"/>
    <w:rsid w:val="003C6FF2"/>
    <w:rsid w:val="003C7F8A"/>
    <w:rsid w:val="003D02E4"/>
    <w:rsid w:val="003D0403"/>
    <w:rsid w:val="003D0414"/>
    <w:rsid w:val="003D05F5"/>
    <w:rsid w:val="003D0798"/>
    <w:rsid w:val="003D08F4"/>
    <w:rsid w:val="003D0D80"/>
    <w:rsid w:val="003D11A0"/>
    <w:rsid w:val="003D2A1A"/>
    <w:rsid w:val="003D3563"/>
    <w:rsid w:val="003D4235"/>
    <w:rsid w:val="003D4C4C"/>
    <w:rsid w:val="003D50A0"/>
    <w:rsid w:val="003D5731"/>
    <w:rsid w:val="003D6092"/>
    <w:rsid w:val="003D7754"/>
    <w:rsid w:val="003E01DE"/>
    <w:rsid w:val="003E0333"/>
    <w:rsid w:val="003E076D"/>
    <w:rsid w:val="003E0DB0"/>
    <w:rsid w:val="003E17F8"/>
    <w:rsid w:val="003E1EBD"/>
    <w:rsid w:val="003E21BE"/>
    <w:rsid w:val="003E26D7"/>
    <w:rsid w:val="003E32D2"/>
    <w:rsid w:val="003E35ED"/>
    <w:rsid w:val="003E3F88"/>
    <w:rsid w:val="003E4E10"/>
    <w:rsid w:val="003E50D2"/>
    <w:rsid w:val="003E5D74"/>
    <w:rsid w:val="003E6EF1"/>
    <w:rsid w:val="003E7B48"/>
    <w:rsid w:val="003F0CC7"/>
    <w:rsid w:val="003F140A"/>
    <w:rsid w:val="003F1C04"/>
    <w:rsid w:val="003F2111"/>
    <w:rsid w:val="003F3609"/>
    <w:rsid w:val="003F3D4D"/>
    <w:rsid w:val="003F4380"/>
    <w:rsid w:val="003F4BFC"/>
    <w:rsid w:val="003F5293"/>
    <w:rsid w:val="003F54A0"/>
    <w:rsid w:val="003F5A5A"/>
    <w:rsid w:val="003F5ABF"/>
    <w:rsid w:val="003F5B8A"/>
    <w:rsid w:val="003F6454"/>
    <w:rsid w:val="003F6AB8"/>
    <w:rsid w:val="003F78F3"/>
    <w:rsid w:val="003F7C30"/>
    <w:rsid w:val="004007F5"/>
    <w:rsid w:val="004009C0"/>
    <w:rsid w:val="00400CE2"/>
    <w:rsid w:val="00400F6D"/>
    <w:rsid w:val="00400FDD"/>
    <w:rsid w:val="0040138F"/>
    <w:rsid w:val="00401541"/>
    <w:rsid w:val="004028C0"/>
    <w:rsid w:val="004039FA"/>
    <w:rsid w:val="004040B8"/>
    <w:rsid w:val="00404798"/>
    <w:rsid w:val="004047F5"/>
    <w:rsid w:val="004049DF"/>
    <w:rsid w:val="004050AD"/>
    <w:rsid w:val="00405A41"/>
    <w:rsid w:val="00405F60"/>
    <w:rsid w:val="0040603D"/>
    <w:rsid w:val="00406628"/>
    <w:rsid w:val="004066FE"/>
    <w:rsid w:val="0040711F"/>
    <w:rsid w:val="0040751D"/>
    <w:rsid w:val="0040794E"/>
    <w:rsid w:val="00410839"/>
    <w:rsid w:val="00410FAE"/>
    <w:rsid w:val="004110A9"/>
    <w:rsid w:val="00411463"/>
    <w:rsid w:val="00411B7E"/>
    <w:rsid w:val="00412D12"/>
    <w:rsid w:val="00413575"/>
    <w:rsid w:val="004135AD"/>
    <w:rsid w:val="00413B55"/>
    <w:rsid w:val="00414463"/>
    <w:rsid w:val="004148DA"/>
    <w:rsid w:val="004148EB"/>
    <w:rsid w:val="00415528"/>
    <w:rsid w:val="00415FAD"/>
    <w:rsid w:val="0041653E"/>
    <w:rsid w:val="00416F47"/>
    <w:rsid w:val="00416FA8"/>
    <w:rsid w:val="00417051"/>
    <w:rsid w:val="00417B56"/>
    <w:rsid w:val="00417BCE"/>
    <w:rsid w:val="00420B03"/>
    <w:rsid w:val="00420D93"/>
    <w:rsid w:val="00420DA8"/>
    <w:rsid w:val="004216E7"/>
    <w:rsid w:val="00421859"/>
    <w:rsid w:val="00422351"/>
    <w:rsid w:val="00423787"/>
    <w:rsid w:val="004241C1"/>
    <w:rsid w:val="00424242"/>
    <w:rsid w:val="004248CD"/>
    <w:rsid w:val="004249B4"/>
    <w:rsid w:val="004257AB"/>
    <w:rsid w:val="00425C4F"/>
    <w:rsid w:val="00426206"/>
    <w:rsid w:val="00426B80"/>
    <w:rsid w:val="00426E89"/>
    <w:rsid w:val="0042743A"/>
    <w:rsid w:val="00427A0B"/>
    <w:rsid w:val="00427C03"/>
    <w:rsid w:val="00430200"/>
    <w:rsid w:val="00430F52"/>
    <w:rsid w:val="00430FDD"/>
    <w:rsid w:val="0043277A"/>
    <w:rsid w:val="004327D5"/>
    <w:rsid w:val="00432DFE"/>
    <w:rsid w:val="0043333B"/>
    <w:rsid w:val="0043363D"/>
    <w:rsid w:val="00433926"/>
    <w:rsid w:val="0043549C"/>
    <w:rsid w:val="00435F89"/>
    <w:rsid w:val="004363AE"/>
    <w:rsid w:val="004371C2"/>
    <w:rsid w:val="00437404"/>
    <w:rsid w:val="0043752B"/>
    <w:rsid w:val="00437664"/>
    <w:rsid w:val="00441E93"/>
    <w:rsid w:val="00442A7D"/>
    <w:rsid w:val="00442B71"/>
    <w:rsid w:val="00442C85"/>
    <w:rsid w:val="00442EFD"/>
    <w:rsid w:val="004433C1"/>
    <w:rsid w:val="004445ED"/>
    <w:rsid w:val="00444A54"/>
    <w:rsid w:val="00444C85"/>
    <w:rsid w:val="00444E6E"/>
    <w:rsid w:val="0044513B"/>
    <w:rsid w:val="004454F6"/>
    <w:rsid w:val="00445DBE"/>
    <w:rsid w:val="00446032"/>
    <w:rsid w:val="0044638B"/>
    <w:rsid w:val="00447636"/>
    <w:rsid w:val="004500F9"/>
    <w:rsid w:val="00450620"/>
    <w:rsid w:val="00450AA2"/>
    <w:rsid w:val="00451934"/>
    <w:rsid w:val="00451CE2"/>
    <w:rsid w:val="00452683"/>
    <w:rsid w:val="004527AE"/>
    <w:rsid w:val="00452F62"/>
    <w:rsid w:val="00452FCA"/>
    <w:rsid w:val="004534A4"/>
    <w:rsid w:val="00453B3F"/>
    <w:rsid w:val="0045418F"/>
    <w:rsid w:val="00454B28"/>
    <w:rsid w:val="00454BA9"/>
    <w:rsid w:val="00455723"/>
    <w:rsid w:val="00455BE1"/>
    <w:rsid w:val="00455EB2"/>
    <w:rsid w:val="00456485"/>
    <w:rsid w:val="00456FEF"/>
    <w:rsid w:val="00457839"/>
    <w:rsid w:val="00457991"/>
    <w:rsid w:val="00457BF5"/>
    <w:rsid w:val="004606C4"/>
    <w:rsid w:val="0046095F"/>
    <w:rsid w:val="00461582"/>
    <w:rsid w:val="00461711"/>
    <w:rsid w:val="00461CD2"/>
    <w:rsid w:val="00462147"/>
    <w:rsid w:val="004624D0"/>
    <w:rsid w:val="004628F9"/>
    <w:rsid w:val="0046397F"/>
    <w:rsid w:val="00463D87"/>
    <w:rsid w:val="0046469A"/>
    <w:rsid w:val="0046496D"/>
    <w:rsid w:val="00464CC9"/>
    <w:rsid w:val="00465F13"/>
    <w:rsid w:val="00465F90"/>
    <w:rsid w:val="004660D3"/>
    <w:rsid w:val="004674B7"/>
    <w:rsid w:val="004677BB"/>
    <w:rsid w:val="00467D9D"/>
    <w:rsid w:val="00470401"/>
    <w:rsid w:val="0047092B"/>
    <w:rsid w:val="00470ADD"/>
    <w:rsid w:val="00471A7F"/>
    <w:rsid w:val="00472071"/>
    <w:rsid w:val="004728D6"/>
    <w:rsid w:val="00472A05"/>
    <w:rsid w:val="00473040"/>
    <w:rsid w:val="00473D08"/>
    <w:rsid w:val="004744E5"/>
    <w:rsid w:val="004745B0"/>
    <w:rsid w:val="0047477A"/>
    <w:rsid w:val="004747C7"/>
    <w:rsid w:val="004748E3"/>
    <w:rsid w:val="00474FAB"/>
    <w:rsid w:val="00475F61"/>
    <w:rsid w:val="0047623D"/>
    <w:rsid w:val="00476261"/>
    <w:rsid w:val="004763CE"/>
    <w:rsid w:val="00476451"/>
    <w:rsid w:val="00476A68"/>
    <w:rsid w:val="00477281"/>
    <w:rsid w:val="00477FBF"/>
    <w:rsid w:val="00480696"/>
    <w:rsid w:val="00481468"/>
    <w:rsid w:val="00481BE6"/>
    <w:rsid w:val="004834E9"/>
    <w:rsid w:val="004838F4"/>
    <w:rsid w:val="00483D13"/>
    <w:rsid w:val="00483DCA"/>
    <w:rsid w:val="0048401B"/>
    <w:rsid w:val="0048590F"/>
    <w:rsid w:val="00486072"/>
    <w:rsid w:val="00486F85"/>
    <w:rsid w:val="00487166"/>
    <w:rsid w:val="00487536"/>
    <w:rsid w:val="0048777A"/>
    <w:rsid w:val="00490D8A"/>
    <w:rsid w:val="0049101F"/>
    <w:rsid w:val="0049103D"/>
    <w:rsid w:val="00491662"/>
    <w:rsid w:val="00491F67"/>
    <w:rsid w:val="00492066"/>
    <w:rsid w:val="00492397"/>
    <w:rsid w:val="00492C43"/>
    <w:rsid w:val="004931C9"/>
    <w:rsid w:val="0049428F"/>
    <w:rsid w:val="004942C1"/>
    <w:rsid w:val="004945ED"/>
    <w:rsid w:val="004947E2"/>
    <w:rsid w:val="00494AC0"/>
    <w:rsid w:val="00495401"/>
    <w:rsid w:val="0049547A"/>
    <w:rsid w:val="00495773"/>
    <w:rsid w:val="00495CED"/>
    <w:rsid w:val="00496636"/>
    <w:rsid w:val="00497011"/>
    <w:rsid w:val="004978CD"/>
    <w:rsid w:val="00497BAA"/>
    <w:rsid w:val="00497E89"/>
    <w:rsid w:val="004A0B09"/>
    <w:rsid w:val="004A0F27"/>
    <w:rsid w:val="004A1956"/>
    <w:rsid w:val="004A1E44"/>
    <w:rsid w:val="004A1F21"/>
    <w:rsid w:val="004A2CDA"/>
    <w:rsid w:val="004A3167"/>
    <w:rsid w:val="004A3250"/>
    <w:rsid w:val="004A32AB"/>
    <w:rsid w:val="004A3A08"/>
    <w:rsid w:val="004A4B6F"/>
    <w:rsid w:val="004A56B6"/>
    <w:rsid w:val="004A5727"/>
    <w:rsid w:val="004A7199"/>
    <w:rsid w:val="004A77DD"/>
    <w:rsid w:val="004B0314"/>
    <w:rsid w:val="004B0917"/>
    <w:rsid w:val="004B1613"/>
    <w:rsid w:val="004B1FCD"/>
    <w:rsid w:val="004B25AC"/>
    <w:rsid w:val="004B287D"/>
    <w:rsid w:val="004B2B5F"/>
    <w:rsid w:val="004B36D1"/>
    <w:rsid w:val="004B47C0"/>
    <w:rsid w:val="004B480E"/>
    <w:rsid w:val="004B51ED"/>
    <w:rsid w:val="004B53ED"/>
    <w:rsid w:val="004B543E"/>
    <w:rsid w:val="004B588B"/>
    <w:rsid w:val="004B58BB"/>
    <w:rsid w:val="004B6571"/>
    <w:rsid w:val="004B65D3"/>
    <w:rsid w:val="004B6A29"/>
    <w:rsid w:val="004B6B79"/>
    <w:rsid w:val="004B6EB4"/>
    <w:rsid w:val="004B7086"/>
    <w:rsid w:val="004C0636"/>
    <w:rsid w:val="004C08E7"/>
    <w:rsid w:val="004C0DDA"/>
    <w:rsid w:val="004C1E74"/>
    <w:rsid w:val="004C2ED9"/>
    <w:rsid w:val="004C3EB4"/>
    <w:rsid w:val="004C523A"/>
    <w:rsid w:val="004C55AD"/>
    <w:rsid w:val="004C5954"/>
    <w:rsid w:val="004C5B89"/>
    <w:rsid w:val="004C7A9F"/>
    <w:rsid w:val="004C7B29"/>
    <w:rsid w:val="004C7CEA"/>
    <w:rsid w:val="004D061F"/>
    <w:rsid w:val="004D0FBC"/>
    <w:rsid w:val="004D2005"/>
    <w:rsid w:val="004D2471"/>
    <w:rsid w:val="004D2517"/>
    <w:rsid w:val="004D3326"/>
    <w:rsid w:val="004D3CEF"/>
    <w:rsid w:val="004D4286"/>
    <w:rsid w:val="004D5D4E"/>
    <w:rsid w:val="004D5F8C"/>
    <w:rsid w:val="004D7658"/>
    <w:rsid w:val="004D7E20"/>
    <w:rsid w:val="004E01AF"/>
    <w:rsid w:val="004E1EC0"/>
    <w:rsid w:val="004E235D"/>
    <w:rsid w:val="004E2480"/>
    <w:rsid w:val="004E256A"/>
    <w:rsid w:val="004E2AE5"/>
    <w:rsid w:val="004E3697"/>
    <w:rsid w:val="004E3BFB"/>
    <w:rsid w:val="004E4284"/>
    <w:rsid w:val="004E51C4"/>
    <w:rsid w:val="004E51CE"/>
    <w:rsid w:val="004E51ED"/>
    <w:rsid w:val="004E59AC"/>
    <w:rsid w:val="004E5C27"/>
    <w:rsid w:val="004E5C37"/>
    <w:rsid w:val="004E5EDE"/>
    <w:rsid w:val="004E5F32"/>
    <w:rsid w:val="004E69ED"/>
    <w:rsid w:val="004E6C10"/>
    <w:rsid w:val="004E70ED"/>
    <w:rsid w:val="004E722D"/>
    <w:rsid w:val="004F00A1"/>
    <w:rsid w:val="004F12E9"/>
    <w:rsid w:val="004F1A4C"/>
    <w:rsid w:val="004F1BFA"/>
    <w:rsid w:val="004F26B4"/>
    <w:rsid w:val="004F2928"/>
    <w:rsid w:val="004F29DC"/>
    <w:rsid w:val="004F3A1E"/>
    <w:rsid w:val="004F3E85"/>
    <w:rsid w:val="004F4A7F"/>
    <w:rsid w:val="004F4DFC"/>
    <w:rsid w:val="004F58AA"/>
    <w:rsid w:val="004F6385"/>
    <w:rsid w:val="004F73F4"/>
    <w:rsid w:val="004F7E6F"/>
    <w:rsid w:val="004F7E73"/>
    <w:rsid w:val="00500672"/>
    <w:rsid w:val="00500851"/>
    <w:rsid w:val="00501B76"/>
    <w:rsid w:val="00501FC6"/>
    <w:rsid w:val="00502F1E"/>
    <w:rsid w:val="005034FA"/>
    <w:rsid w:val="00504D95"/>
    <w:rsid w:val="00505796"/>
    <w:rsid w:val="00505A68"/>
    <w:rsid w:val="0050683B"/>
    <w:rsid w:val="0050702D"/>
    <w:rsid w:val="005108C4"/>
    <w:rsid w:val="00510CAF"/>
    <w:rsid w:val="005111B4"/>
    <w:rsid w:val="00511D9A"/>
    <w:rsid w:val="00511DBD"/>
    <w:rsid w:val="005123BF"/>
    <w:rsid w:val="0051289F"/>
    <w:rsid w:val="00512E59"/>
    <w:rsid w:val="00512E9F"/>
    <w:rsid w:val="00513029"/>
    <w:rsid w:val="0051311C"/>
    <w:rsid w:val="00513954"/>
    <w:rsid w:val="00514E5A"/>
    <w:rsid w:val="00514F1F"/>
    <w:rsid w:val="0051502D"/>
    <w:rsid w:val="0051533D"/>
    <w:rsid w:val="005153F8"/>
    <w:rsid w:val="005157E1"/>
    <w:rsid w:val="005157EB"/>
    <w:rsid w:val="00515D8A"/>
    <w:rsid w:val="00516AFA"/>
    <w:rsid w:val="00516D9B"/>
    <w:rsid w:val="00517656"/>
    <w:rsid w:val="005204FF"/>
    <w:rsid w:val="00522193"/>
    <w:rsid w:val="005222CB"/>
    <w:rsid w:val="00523914"/>
    <w:rsid w:val="00523F3D"/>
    <w:rsid w:val="0052405A"/>
    <w:rsid w:val="005256C8"/>
    <w:rsid w:val="00526397"/>
    <w:rsid w:val="00527782"/>
    <w:rsid w:val="00527A62"/>
    <w:rsid w:val="00527C11"/>
    <w:rsid w:val="00527E63"/>
    <w:rsid w:val="00527EC5"/>
    <w:rsid w:val="00530618"/>
    <w:rsid w:val="005306CB"/>
    <w:rsid w:val="00530AA1"/>
    <w:rsid w:val="00530D72"/>
    <w:rsid w:val="00530E26"/>
    <w:rsid w:val="00531510"/>
    <w:rsid w:val="00531530"/>
    <w:rsid w:val="005319A4"/>
    <w:rsid w:val="00532E17"/>
    <w:rsid w:val="00533F53"/>
    <w:rsid w:val="005342D1"/>
    <w:rsid w:val="00534A07"/>
    <w:rsid w:val="00534F50"/>
    <w:rsid w:val="005366E1"/>
    <w:rsid w:val="00536DFE"/>
    <w:rsid w:val="00536F7B"/>
    <w:rsid w:val="005377E7"/>
    <w:rsid w:val="00537D0D"/>
    <w:rsid w:val="005402D4"/>
    <w:rsid w:val="005402E7"/>
    <w:rsid w:val="00540DD4"/>
    <w:rsid w:val="005410A7"/>
    <w:rsid w:val="00542379"/>
    <w:rsid w:val="005425FE"/>
    <w:rsid w:val="00543285"/>
    <w:rsid w:val="005439D7"/>
    <w:rsid w:val="005445AE"/>
    <w:rsid w:val="00544A90"/>
    <w:rsid w:val="00544B08"/>
    <w:rsid w:val="00545563"/>
    <w:rsid w:val="00545B78"/>
    <w:rsid w:val="005462C3"/>
    <w:rsid w:val="00546D73"/>
    <w:rsid w:val="005475BB"/>
    <w:rsid w:val="00547DB3"/>
    <w:rsid w:val="00550032"/>
    <w:rsid w:val="00550583"/>
    <w:rsid w:val="00550BD5"/>
    <w:rsid w:val="00550C7E"/>
    <w:rsid w:val="00551356"/>
    <w:rsid w:val="00551483"/>
    <w:rsid w:val="00551A27"/>
    <w:rsid w:val="0055258C"/>
    <w:rsid w:val="005534A5"/>
    <w:rsid w:val="00553A29"/>
    <w:rsid w:val="00553BE6"/>
    <w:rsid w:val="00554649"/>
    <w:rsid w:val="00554655"/>
    <w:rsid w:val="00554E8C"/>
    <w:rsid w:val="005552A3"/>
    <w:rsid w:val="005559FE"/>
    <w:rsid w:val="00555C1F"/>
    <w:rsid w:val="005562DF"/>
    <w:rsid w:val="00557114"/>
    <w:rsid w:val="00557922"/>
    <w:rsid w:val="00557AA7"/>
    <w:rsid w:val="00557D81"/>
    <w:rsid w:val="005600C3"/>
    <w:rsid w:val="0056059C"/>
    <w:rsid w:val="00560B1D"/>
    <w:rsid w:val="00561268"/>
    <w:rsid w:val="00561C0B"/>
    <w:rsid w:val="00561CC3"/>
    <w:rsid w:val="00562855"/>
    <w:rsid w:val="00563BD5"/>
    <w:rsid w:val="00563E61"/>
    <w:rsid w:val="005645C5"/>
    <w:rsid w:val="00564CDC"/>
    <w:rsid w:val="00565E1D"/>
    <w:rsid w:val="005660DD"/>
    <w:rsid w:val="0056614D"/>
    <w:rsid w:val="005665FA"/>
    <w:rsid w:val="00566BBC"/>
    <w:rsid w:val="00570131"/>
    <w:rsid w:val="005702C2"/>
    <w:rsid w:val="00570A25"/>
    <w:rsid w:val="00570D7C"/>
    <w:rsid w:val="00571535"/>
    <w:rsid w:val="005717DA"/>
    <w:rsid w:val="00571B85"/>
    <w:rsid w:val="005734AD"/>
    <w:rsid w:val="005735C1"/>
    <w:rsid w:val="00574173"/>
    <w:rsid w:val="005747D5"/>
    <w:rsid w:val="00574D08"/>
    <w:rsid w:val="00574DA1"/>
    <w:rsid w:val="00574E86"/>
    <w:rsid w:val="00574EF7"/>
    <w:rsid w:val="0057552A"/>
    <w:rsid w:val="005755F0"/>
    <w:rsid w:val="00575C38"/>
    <w:rsid w:val="00575F0F"/>
    <w:rsid w:val="005762DF"/>
    <w:rsid w:val="00576C2E"/>
    <w:rsid w:val="00577438"/>
    <w:rsid w:val="005776A7"/>
    <w:rsid w:val="005802A0"/>
    <w:rsid w:val="00581977"/>
    <w:rsid w:val="00581C7F"/>
    <w:rsid w:val="00582287"/>
    <w:rsid w:val="005823BC"/>
    <w:rsid w:val="0058261B"/>
    <w:rsid w:val="00582C0D"/>
    <w:rsid w:val="00585003"/>
    <w:rsid w:val="0058535A"/>
    <w:rsid w:val="00585A30"/>
    <w:rsid w:val="0058690C"/>
    <w:rsid w:val="0058690D"/>
    <w:rsid w:val="00586F16"/>
    <w:rsid w:val="00587961"/>
    <w:rsid w:val="00590544"/>
    <w:rsid w:val="00590DE0"/>
    <w:rsid w:val="005913C8"/>
    <w:rsid w:val="00591DAA"/>
    <w:rsid w:val="005923ED"/>
    <w:rsid w:val="00592471"/>
    <w:rsid w:val="0059334E"/>
    <w:rsid w:val="0059345C"/>
    <w:rsid w:val="00593BF0"/>
    <w:rsid w:val="00594DD9"/>
    <w:rsid w:val="00594EB0"/>
    <w:rsid w:val="00595656"/>
    <w:rsid w:val="00595EDB"/>
    <w:rsid w:val="0059621E"/>
    <w:rsid w:val="00596DE9"/>
    <w:rsid w:val="005978F0"/>
    <w:rsid w:val="0059798C"/>
    <w:rsid w:val="005A09AF"/>
    <w:rsid w:val="005A118B"/>
    <w:rsid w:val="005A11EC"/>
    <w:rsid w:val="005A13CD"/>
    <w:rsid w:val="005A1DAA"/>
    <w:rsid w:val="005A25B9"/>
    <w:rsid w:val="005A269B"/>
    <w:rsid w:val="005A2DCD"/>
    <w:rsid w:val="005A30AA"/>
    <w:rsid w:val="005A330D"/>
    <w:rsid w:val="005A3724"/>
    <w:rsid w:val="005A3AC0"/>
    <w:rsid w:val="005A423E"/>
    <w:rsid w:val="005A4465"/>
    <w:rsid w:val="005A53DA"/>
    <w:rsid w:val="005A5796"/>
    <w:rsid w:val="005A5915"/>
    <w:rsid w:val="005A60AE"/>
    <w:rsid w:val="005A62E5"/>
    <w:rsid w:val="005A719B"/>
    <w:rsid w:val="005A7EC8"/>
    <w:rsid w:val="005B0479"/>
    <w:rsid w:val="005B1179"/>
    <w:rsid w:val="005B1FB4"/>
    <w:rsid w:val="005B2020"/>
    <w:rsid w:val="005B226B"/>
    <w:rsid w:val="005B2AF0"/>
    <w:rsid w:val="005B3AF3"/>
    <w:rsid w:val="005B4156"/>
    <w:rsid w:val="005B4306"/>
    <w:rsid w:val="005B4459"/>
    <w:rsid w:val="005B5056"/>
    <w:rsid w:val="005B55B6"/>
    <w:rsid w:val="005B5636"/>
    <w:rsid w:val="005B5EAF"/>
    <w:rsid w:val="005B608F"/>
    <w:rsid w:val="005B60D7"/>
    <w:rsid w:val="005B624C"/>
    <w:rsid w:val="005B795E"/>
    <w:rsid w:val="005B7EEA"/>
    <w:rsid w:val="005C0931"/>
    <w:rsid w:val="005C0C5E"/>
    <w:rsid w:val="005C0EFA"/>
    <w:rsid w:val="005C1447"/>
    <w:rsid w:val="005C1539"/>
    <w:rsid w:val="005C173F"/>
    <w:rsid w:val="005C1950"/>
    <w:rsid w:val="005C1C5C"/>
    <w:rsid w:val="005C1F73"/>
    <w:rsid w:val="005C23AA"/>
    <w:rsid w:val="005C2623"/>
    <w:rsid w:val="005C3319"/>
    <w:rsid w:val="005C3EDC"/>
    <w:rsid w:val="005C3F8D"/>
    <w:rsid w:val="005C49DA"/>
    <w:rsid w:val="005C4CAC"/>
    <w:rsid w:val="005C4DAC"/>
    <w:rsid w:val="005C5007"/>
    <w:rsid w:val="005C506F"/>
    <w:rsid w:val="005C5160"/>
    <w:rsid w:val="005C545E"/>
    <w:rsid w:val="005C550A"/>
    <w:rsid w:val="005C558B"/>
    <w:rsid w:val="005C56DF"/>
    <w:rsid w:val="005C614F"/>
    <w:rsid w:val="005C6200"/>
    <w:rsid w:val="005C69E7"/>
    <w:rsid w:val="005C6B70"/>
    <w:rsid w:val="005C76DC"/>
    <w:rsid w:val="005D0258"/>
    <w:rsid w:val="005D07E8"/>
    <w:rsid w:val="005D0CD1"/>
    <w:rsid w:val="005D1169"/>
    <w:rsid w:val="005D159B"/>
    <w:rsid w:val="005D1BAF"/>
    <w:rsid w:val="005D441C"/>
    <w:rsid w:val="005D487A"/>
    <w:rsid w:val="005D4F60"/>
    <w:rsid w:val="005D517B"/>
    <w:rsid w:val="005D5623"/>
    <w:rsid w:val="005D59DB"/>
    <w:rsid w:val="005D5B70"/>
    <w:rsid w:val="005D5C7E"/>
    <w:rsid w:val="005D5E5B"/>
    <w:rsid w:val="005D6065"/>
    <w:rsid w:val="005D64A9"/>
    <w:rsid w:val="005D6F37"/>
    <w:rsid w:val="005D7099"/>
    <w:rsid w:val="005D7B74"/>
    <w:rsid w:val="005E06C3"/>
    <w:rsid w:val="005E0821"/>
    <w:rsid w:val="005E0BA5"/>
    <w:rsid w:val="005E11B5"/>
    <w:rsid w:val="005E16C3"/>
    <w:rsid w:val="005E1BAD"/>
    <w:rsid w:val="005E1DE4"/>
    <w:rsid w:val="005E2D26"/>
    <w:rsid w:val="005E30F3"/>
    <w:rsid w:val="005E376D"/>
    <w:rsid w:val="005E486F"/>
    <w:rsid w:val="005E52E9"/>
    <w:rsid w:val="005E5582"/>
    <w:rsid w:val="005E576D"/>
    <w:rsid w:val="005E5CAF"/>
    <w:rsid w:val="005E64E4"/>
    <w:rsid w:val="005E68F7"/>
    <w:rsid w:val="005E6FA8"/>
    <w:rsid w:val="005E7444"/>
    <w:rsid w:val="005E74A8"/>
    <w:rsid w:val="005E777D"/>
    <w:rsid w:val="005E7D26"/>
    <w:rsid w:val="005F0571"/>
    <w:rsid w:val="005F0B97"/>
    <w:rsid w:val="005F0F0A"/>
    <w:rsid w:val="005F113B"/>
    <w:rsid w:val="005F1C99"/>
    <w:rsid w:val="005F3183"/>
    <w:rsid w:val="005F37B0"/>
    <w:rsid w:val="005F3931"/>
    <w:rsid w:val="005F49FC"/>
    <w:rsid w:val="005F4B03"/>
    <w:rsid w:val="005F4F1C"/>
    <w:rsid w:val="005F52EE"/>
    <w:rsid w:val="005F7273"/>
    <w:rsid w:val="005F75D7"/>
    <w:rsid w:val="005F762E"/>
    <w:rsid w:val="0060052B"/>
    <w:rsid w:val="00601284"/>
    <w:rsid w:val="0060170F"/>
    <w:rsid w:val="00602409"/>
    <w:rsid w:val="00602D9A"/>
    <w:rsid w:val="00603806"/>
    <w:rsid w:val="006043A0"/>
    <w:rsid w:val="00604809"/>
    <w:rsid w:val="006049DE"/>
    <w:rsid w:val="006053B7"/>
    <w:rsid w:val="00605699"/>
    <w:rsid w:val="00605DF8"/>
    <w:rsid w:val="00605E99"/>
    <w:rsid w:val="0060651D"/>
    <w:rsid w:val="0060696A"/>
    <w:rsid w:val="00606A34"/>
    <w:rsid w:val="00607149"/>
    <w:rsid w:val="00607F80"/>
    <w:rsid w:val="00610269"/>
    <w:rsid w:val="00611422"/>
    <w:rsid w:val="00611894"/>
    <w:rsid w:val="00611BA6"/>
    <w:rsid w:val="006130BA"/>
    <w:rsid w:val="00613E22"/>
    <w:rsid w:val="00614487"/>
    <w:rsid w:val="00614C00"/>
    <w:rsid w:val="00614FC6"/>
    <w:rsid w:val="006152EF"/>
    <w:rsid w:val="00615584"/>
    <w:rsid w:val="00615C7C"/>
    <w:rsid w:val="00616491"/>
    <w:rsid w:val="006169A0"/>
    <w:rsid w:val="00616CA2"/>
    <w:rsid w:val="0061736F"/>
    <w:rsid w:val="00617AD8"/>
    <w:rsid w:val="00620CDC"/>
    <w:rsid w:val="00621618"/>
    <w:rsid w:val="00621CA8"/>
    <w:rsid w:val="00621D5A"/>
    <w:rsid w:val="00621DAF"/>
    <w:rsid w:val="00622291"/>
    <w:rsid w:val="00622E08"/>
    <w:rsid w:val="006239ED"/>
    <w:rsid w:val="00623C05"/>
    <w:rsid w:val="00623D0C"/>
    <w:rsid w:val="006246E0"/>
    <w:rsid w:val="00624AEF"/>
    <w:rsid w:val="00624BB1"/>
    <w:rsid w:val="00624FB9"/>
    <w:rsid w:val="006255F9"/>
    <w:rsid w:val="00625F09"/>
    <w:rsid w:val="006267B9"/>
    <w:rsid w:val="00626977"/>
    <w:rsid w:val="00626DC6"/>
    <w:rsid w:val="00626E58"/>
    <w:rsid w:val="006274F9"/>
    <w:rsid w:val="00630248"/>
    <w:rsid w:val="00630C67"/>
    <w:rsid w:val="0063149C"/>
    <w:rsid w:val="006322FA"/>
    <w:rsid w:val="00632DC6"/>
    <w:rsid w:val="006339E8"/>
    <w:rsid w:val="00634FB1"/>
    <w:rsid w:val="00635746"/>
    <w:rsid w:val="006366E6"/>
    <w:rsid w:val="00637556"/>
    <w:rsid w:val="0063778A"/>
    <w:rsid w:val="00640187"/>
    <w:rsid w:val="0064058C"/>
    <w:rsid w:val="006408FD"/>
    <w:rsid w:val="00640FB8"/>
    <w:rsid w:val="00641EFF"/>
    <w:rsid w:val="0064256A"/>
    <w:rsid w:val="006427CB"/>
    <w:rsid w:val="00642DEA"/>
    <w:rsid w:val="006442E6"/>
    <w:rsid w:val="0064490D"/>
    <w:rsid w:val="006449E9"/>
    <w:rsid w:val="00645417"/>
    <w:rsid w:val="00645D07"/>
    <w:rsid w:val="00646071"/>
    <w:rsid w:val="00646F12"/>
    <w:rsid w:val="0064734D"/>
    <w:rsid w:val="00647450"/>
    <w:rsid w:val="00647A39"/>
    <w:rsid w:val="00650F11"/>
    <w:rsid w:val="006510C5"/>
    <w:rsid w:val="00651700"/>
    <w:rsid w:val="00652BCD"/>
    <w:rsid w:val="0065322D"/>
    <w:rsid w:val="00653889"/>
    <w:rsid w:val="0065396F"/>
    <w:rsid w:val="00653ABA"/>
    <w:rsid w:val="00653B6B"/>
    <w:rsid w:val="006554E7"/>
    <w:rsid w:val="00655C16"/>
    <w:rsid w:val="00656B4A"/>
    <w:rsid w:val="00656CB1"/>
    <w:rsid w:val="00656E98"/>
    <w:rsid w:val="00656EEA"/>
    <w:rsid w:val="00657AD1"/>
    <w:rsid w:val="0066040D"/>
    <w:rsid w:val="00660681"/>
    <w:rsid w:val="006617C6"/>
    <w:rsid w:val="00661BA6"/>
    <w:rsid w:val="00662244"/>
    <w:rsid w:val="006632AA"/>
    <w:rsid w:val="006632E1"/>
    <w:rsid w:val="006632F3"/>
    <w:rsid w:val="006639F3"/>
    <w:rsid w:val="00663A66"/>
    <w:rsid w:val="00663AE8"/>
    <w:rsid w:val="006643E5"/>
    <w:rsid w:val="006644C7"/>
    <w:rsid w:val="006645FB"/>
    <w:rsid w:val="00664C07"/>
    <w:rsid w:val="006653ED"/>
    <w:rsid w:val="0066614D"/>
    <w:rsid w:val="006666AB"/>
    <w:rsid w:val="00666818"/>
    <w:rsid w:val="00666DEA"/>
    <w:rsid w:val="00666FD1"/>
    <w:rsid w:val="00667B7C"/>
    <w:rsid w:val="0067028C"/>
    <w:rsid w:val="00670B73"/>
    <w:rsid w:val="00670F99"/>
    <w:rsid w:val="006737AF"/>
    <w:rsid w:val="0067403A"/>
    <w:rsid w:val="00674E93"/>
    <w:rsid w:val="00675113"/>
    <w:rsid w:val="006751CB"/>
    <w:rsid w:val="0067665B"/>
    <w:rsid w:val="00676D8F"/>
    <w:rsid w:val="006772D6"/>
    <w:rsid w:val="006776E3"/>
    <w:rsid w:val="00677CA0"/>
    <w:rsid w:val="00677D6D"/>
    <w:rsid w:val="006806BA"/>
    <w:rsid w:val="00680723"/>
    <w:rsid w:val="00680D11"/>
    <w:rsid w:val="0068154C"/>
    <w:rsid w:val="00681AD4"/>
    <w:rsid w:val="00681BBC"/>
    <w:rsid w:val="00681D88"/>
    <w:rsid w:val="006826F0"/>
    <w:rsid w:val="00682C52"/>
    <w:rsid w:val="006832F9"/>
    <w:rsid w:val="006834D3"/>
    <w:rsid w:val="0068352D"/>
    <w:rsid w:val="006837FC"/>
    <w:rsid w:val="00683B4C"/>
    <w:rsid w:val="00683E27"/>
    <w:rsid w:val="00684F37"/>
    <w:rsid w:val="00685607"/>
    <w:rsid w:val="0068574D"/>
    <w:rsid w:val="006858D6"/>
    <w:rsid w:val="00685BE7"/>
    <w:rsid w:val="006877E0"/>
    <w:rsid w:val="00687AF8"/>
    <w:rsid w:val="00687D23"/>
    <w:rsid w:val="00687DEA"/>
    <w:rsid w:val="00687FE5"/>
    <w:rsid w:val="0069143D"/>
    <w:rsid w:val="006918BE"/>
    <w:rsid w:val="00691945"/>
    <w:rsid w:val="00691C81"/>
    <w:rsid w:val="00691E06"/>
    <w:rsid w:val="0069245C"/>
    <w:rsid w:val="0069262A"/>
    <w:rsid w:val="00692B5A"/>
    <w:rsid w:val="006934A3"/>
    <w:rsid w:val="00693569"/>
    <w:rsid w:val="00693E3A"/>
    <w:rsid w:val="00694EDA"/>
    <w:rsid w:val="00695A92"/>
    <w:rsid w:val="0069608A"/>
    <w:rsid w:val="006960B2"/>
    <w:rsid w:val="0069610A"/>
    <w:rsid w:val="0069738A"/>
    <w:rsid w:val="00697E1B"/>
    <w:rsid w:val="006A008F"/>
    <w:rsid w:val="006A1014"/>
    <w:rsid w:val="006A187F"/>
    <w:rsid w:val="006A1A4D"/>
    <w:rsid w:val="006A2120"/>
    <w:rsid w:val="006A2AAA"/>
    <w:rsid w:val="006A3838"/>
    <w:rsid w:val="006A4A58"/>
    <w:rsid w:val="006A6C22"/>
    <w:rsid w:val="006A6E22"/>
    <w:rsid w:val="006A6FF4"/>
    <w:rsid w:val="006A78DC"/>
    <w:rsid w:val="006A78EF"/>
    <w:rsid w:val="006B014F"/>
    <w:rsid w:val="006B0282"/>
    <w:rsid w:val="006B091A"/>
    <w:rsid w:val="006B13C6"/>
    <w:rsid w:val="006B1542"/>
    <w:rsid w:val="006B1D7E"/>
    <w:rsid w:val="006B2124"/>
    <w:rsid w:val="006B212B"/>
    <w:rsid w:val="006B2972"/>
    <w:rsid w:val="006B36E6"/>
    <w:rsid w:val="006B3CD6"/>
    <w:rsid w:val="006B4DDC"/>
    <w:rsid w:val="006B4EE1"/>
    <w:rsid w:val="006B6053"/>
    <w:rsid w:val="006B7292"/>
    <w:rsid w:val="006B7422"/>
    <w:rsid w:val="006B78CE"/>
    <w:rsid w:val="006B7B93"/>
    <w:rsid w:val="006C0305"/>
    <w:rsid w:val="006C12E9"/>
    <w:rsid w:val="006C1517"/>
    <w:rsid w:val="006C19E3"/>
    <w:rsid w:val="006C1A55"/>
    <w:rsid w:val="006C1B45"/>
    <w:rsid w:val="006C1D9B"/>
    <w:rsid w:val="006C3071"/>
    <w:rsid w:val="006C3E1A"/>
    <w:rsid w:val="006C4011"/>
    <w:rsid w:val="006C40E2"/>
    <w:rsid w:val="006C431C"/>
    <w:rsid w:val="006C4D53"/>
    <w:rsid w:val="006C61E5"/>
    <w:rsid w:val="006C6E62"/>
    <w:rsid w:val="006D030D"/>
    <w:rsid w:val="006D070A"/>
    <w:rsid w:val="006D0719"/>
    <w:rsid w:val="006D086D"/>
    <w:rsid w:val="006D0D66"/>
    <w:rsid w:val="006D1498"/>
    <w:rsid w:val="006D25B4"/>
    <w:rsid w:val="006D313C"/>
    <w:rsid w:val="006D352C"/>
    <w:rsid w:val="006D378D"/>
    <w:rsid w:val="006D38A4"/>
    <w:rsid w:val="006D3C3B"/>
    <w:rsid w:val="006D4067"/>
    <w:rsid w:val="006D4AE4"/>
    <w:rsid w:val="006D4DFA"/>
    <w:rsid w:val="006D5517"/>
    <w:rsid w:val="006D6157"/>
    <w:rsid w:val="006D6C89"/>
    <w:rsid w:val="006D70C5"/>
    <w:rsid w:val="006D768C"/>
    <w:rsid w:val="006D7729"/>
    <w:rsid w:val="006D79EA"/>
    <w:rsid w:val="006E0200"/>
    <w:rsid w:val="006E02DA"/>
    <w:rsid w:val="006E08BF"/>
    <w:rsid w:val="006E15FD"/>
    <w:rsid w:val="006E1C08"/>
    <w:rsid w:val="006E1CD2"/>
    <w:rsid w:val="006E1D99"/>
    <w:rsid w:val="006E1E09"/>
    <w:rsid w:val="006E2517"/>
    <w:rsid w:val="006E2966"/>
    <w:rsid w:val="006E2E28"/>
    <w:rsid w:val="006E354D"/>
    <w:rsid w:val="006E3D9A"/>
    <w:rsid w:val="006E3EF9"/>
    <w:rsid w:val="006E4905"/>
    <w:rsid w:val="006E58EE"/>
    <w:rsid w:val="006E677E"/>
    <w:rsid w:val="006E6EF5"/>
    <w:rsid w:val="006E7A8F"/>
    <w:rsid w:val="006F01ED"/>
    <w:rsid w:val="006F098A"/>
    <w:rsid w:val="006F1400"/>
    <w:rsid w:val="006F174F"/>
    <w:rsid w:val="006F1873"/>
    <w:rsid w:val="006F197C"/>
    <w:rsid w:val="006F19B7"/>
    <w:rsid w:val="006F240E"/>
    <w:rsid w:val="006F2961"/>
    <w:rsid w:val="006F3549"/>
    <w:rsid w:val="006F3684"/>
    <w:rsid w:val="006F3FE6"/>
    <w:rsid w:val="006F425E"/>
    <w:rsid w:val="006F4699"/>
    <w:rsid w:val="006F4CF6"/>
    <w:rsid w:val="006F6F47"/>
    <w:rsid w:val="006F7478"/>
    <w:rsid w:val="006F7980"/>
    <w:rsid w:val="006F7F5A"/>
    <w:rsid w:val="007001AF"/>
    <w:rsid w:val="00700BE6"/>
    <w:rsid w:val="007018B0"/>
    <w:rsid w:val="00701B66"/>
    <w:rsid w:val="00701DC8"/>
    <w:rsid w:val="00702342"/>
    <w:rsid w:val="007028DC"/>
    <w:rsid w:val="00702975"/>
    <w:rsid w:val="007030B5"/>
    <w:rsid w:val="0070370B"/>
    <w:rsid w:val="00703C3E"/>
    <w:rsid w:val="00703D78"/>
    <w:rsid w:val="007041AB"/>
    <w:rsid w:val="00704CEB"/>
    <w:rsid w:val="00705AA6"/>
    <w:rsid w:val="007061A3"/>
    <w:rsid w:val="00707E7F"/>
    <w:rsid w:val="00710A3E"/>
    <w:rsid w:val="00711432"/>
    <w:rsid w:val="00712240"/>
    <w:rsid w:val="0071373B"/>
    <w:rsid w:val="00714105"/>
    <w:rsid w:val="00714D4D"/>
    <w:rsid w:val="00715047"/>
    <w:rsid w:val="007155F5"/>
    <w:rsid w:val="00715C4C"/>
    <w:rsid w:val="00716879"/>
    <w:rsid w:val="00716AD5"/>
    <w:rsid w:val="00717EA1"/>
    <w:rsid w:val="00720017"/>
    <w:rsid w:val="00720472"/>
    <w:rsid w:val="00721972"/>
    <w:rsid w:val="00722CED"/>
    <w:rsid w:val="00724020"/>
    <w:rsid w:val="00725B6D"/>
    <w:rsid w:val="00726A27"/>
    <w:rsid w:val="00726CF0"/>
    <w:rsid w:val="00727740"/>
    <w:rsid w:val="00727F88"/>
    <w:rsid w:val="00730524"/>
    <w:rsid w:val="00730936"/>
    <w:rsid w:val="00730ACF"/>
    <w:rsid w:val="00730CAB"/>
    <w:rsid w:val="00732508"/>
    <w:rsid w:val="00732D90"/>
    <w:rsid w:val="00732FB8"/>
    <w:rsid w:val="0073363D"/>
    <w:rsid w:val="00733828"/>
    <w:rsid w:val="00733A92"/>
    <w:rsid w:val="00733BB2"/>
    <w:rsid w:val="00733C56"/>
    <w:rsid w:val="0073463F"/>
    <w:rsid w:val="00735062"/>
    <w:rsid w:val="0073527A"/>
    <w:rsid w:val="00735833"/>
    <w:rsid w:val="00736183"/>
    <w:rsid w:val="007362F8"/>
    <w:rsid w:val="0073663D"/>
    <w:rsid w:val="007369DE"/>
    <w:rsid w:val="00736F69"/>
    <w:rsid w:val="00736FA4"/>
    <w:rsid w:val="00737851"/>
    <w:rsid w:val="007403D4"/>
    <w:rsid w:val="00740544"/>
    <w:rsid w:val="0074175B"/>
    <w:rsid w:val="00742842"/>
    <w:rsid w:val="00743233"/>
    <w:rsid w:val="007432B5"/>
    <w:rsid w:val="007432D4"/>
    <w:rsid w:val="00743554"/>
    <w:rsid w:val="00743588"/>
    <w:rsid w:val="007438B6"/>
    <w:rsid w:val="007441A4"/>
    <w:rsid w:val="00744531"/>
    <w:rsid w:val="00744840"/>
    <w:rsid w:val="00744C71"/>
    <w:rsid w:val="00745719"/>
    <w:rsid w:val="00745A9B"/>
    <w:rsid w:val="0074621F"/>
    <w:rsid w:val="00746FDC"/>
    <w:rsid w:val="0074743A"/>
    <w:rsid w:val="00747916"/>
    <w:rsid w:val="00750A5C"/>
    <w:rsid w:val="00751703"/>
    <w:rsid w:val="00751754"/>
    <w:rsid w:val="00751797"/>
    <w:rsid w:val="00751C36"/>
    <w:rsid w:val="00752279"/>
    <w:rsid w:val="00752369"/>
    <w:rsid w:val="007523DE"/>
    <w:rsid w:val="007539C0"/>
    <w:rsid w:val="00754246"/>
    <w:rsid w:val="0075437E"/>
    <w:rsid w:val="00754913"/>
    <w:rsid w:val="00754A41"/>
    <w:rsid w:val="00754A67"/>
    <w:rsid w:val="00755747"/>
    <w:rsid w:val="00755A31"/>
    <w:rsid w:val="00756E5F"/>
    <w:rsid w:val="00756ED2"/>
    <w:rsid w:val="0075770B"/>
    <w:rsid w:val="007579CC"/>
    <w:rsid w:val="00760685"/>
    <w:rsid w:val="00760700"/>
    <w:rsid w:val="007611B8"/>
    <w:rsid w:val="007612F2"/>
    <w:rsid w:val="00761D60"/>
    <w:rsid w:val="00761DF3"/>
    <w:rsid w:val="00761E1A"/>
    <w:rsid w:val="007622CA"/>
    <w:rsid w:val="00762465"/>
    <w:rsid w:val="00762587"/>
    <w:rsid w:val="00762905"/>
    <w:rsid w:val="0076326B"/>
    <w:rsid w:val="0076366F"/>
    <w:rsid w:val="00763BA1"/>
    <w:rsid w:val="0076498F"/>
    <w:rsid w:val="0076501A"/>
    <w:rsid w:val="007655C2"/>
    <w:rsid w:val="0076623F"/>
    <w:rsid w:val="0076699D"/>
    <w:rsid w:val="00766D87"/>
    <w:rsid w:val="00766E91"/>
    <w:rsid w:val="00767409"/>
    <w:rsid w:val="00767A32"/>
    <w:rsid w:val="00767A55"/>
    <w:rsid w:val="00770254"/>
    <w:rsid w:val="0077064A"/>
    <w:rsid w:val="00770ACF"/>
    <w:rsid w:val="00770BCE"/>
    <w:rsid w:val="00770F8C"/>
    <w:rsid w:val="00772646"/>
    <w:rsid w:val="00772C75"/>
    <w:rsid w:val="00772CA0"/>
    <w:rsid w:val="00774475"/>
    <w:rsid w:val="007746D5"/>
    <w:rsid w:val="007748F1"/>
    <w:rsid w:val="00775E81"/>
    <w:rsid w:val="00775E9D"/>
    <w:rsid w:val="00777BB3"/>
    <w:rsid w:val="00780629"/>
    <w:rsid w:val="00781331"/>
    <w:rsid w:val="007819F8"/>
    <w:rsid w:val="0078225D"/>
    <w:rsid w:val="007826C1"/>
    <w:rsid w:val="0078301C"/>
    <w:rsid w:val="007839C1"/>
    <w:rsid w:val="00783EFB"/>
    <w:rsid w:val="00784459"/>
    <w:rsid w:val="00785064"/>
    <w:rsid w:val="00785398"/>
    <w:rsid w:val="00785DCE"/>
    <w:rsid w:val="00785EC1"/>
    <w:rsid w:val="0078617B"/>
    <w:rsid w:val="00786C40"/>
    <w:rsid w:val="00786F60"/>
    <w:rsid w:val="00786F61"/>
    <w:rsid w:val="0078739D"/>
    <w:rsid w:val="00787975"/>
    <w:rsid w:val="00787E8C"/>
    <w:rsid w:val="00787F30"/>
    <w:rsid w:val="007908A1"/>
    <w:rsid w:val="00790F34"/>
    <w:rsid w:val="00791334"/>
    <w:rsid w:val="00791EA5"/>
    <w:rsid w:val="0079276B"/>
    <w:rsid w:val="0079282B"/>
    <w:rsid w:val="00792F3C"/>
    <w:rsid w:val="007939C7"/>
    <w:rsid w:val="007939E1"/>
    <w:rsid w:val="00793BD4"/>
    <w:rsid w:val="0079410C"/>
    <w:rsid w:val="007942F4"/>
    <w:rsid w:val="007951CC"/>
    <w:rsid w:val="00795B94"/>
    <w:rsid w:val="007963ED"/>
    <w:rsid w:val="00796548"/>
    <w:rsid w:val="00796D08"/>
    <w:rsid w:val="00796D12"/>
    <w:rsid w:val="00797143"/>
    <w:rsid w:val="00797E27"/>
    <w:rsid w:val="007A029C"/>
    <w:rsid w:val="007A0E21"/>
    <w:rsid w:val="007A0F2B"/>
    <w:rsid w:val="007A1626"/>
    <w:rsid w:val="007A170E"/>
    <w:rsid w:val="007A2293"/>
    <w:rsid w:val="007A2326"/>
    <w:rsid w:val="007A29B8"/>
    <w:rsid w:val="007A5476"/>
    <w:rsid w:val="007A576F"/>
    <w:rsid w:val="007A5A37"/>
    <w:rsid w:val="007A5CAB"/>
    <w:rsid w:val="007A605B"/>
    <w:rsid w:val="007A6FA6"/>
    <w:rsid w:val="007A7A81"/>
    <w:rsid w:val="007A7B70"/>
    <w:rsid w:val="007B053A"/>
    <w:rsid w:val="007B0CF7"/>
    <w:rsid w:val="007B2710"/>
    <w:rsid w:val="007B351F"/>
    <w:rsid w:val="007B3578"/>
    <w:rsid w:val="007B5203"/>
    <w:rsid w:val="007B5355"/>
    <w:rsid w:val="007B5BFE"/>
    <w:rsid w:val="007B6081"/>
    <w:rsid w:val="007B64AD"/>
    <w:rsid w:val="007B6AD9"/>
    <w:rsid w:val="007B6EFE"/>
    <w:rsid w:val="007B7C33"/>
    <w:rsid w:val="007B7DFF"/>
    <w:rsid w:val="007C0091"/>
    <w:rsid w:val="007C06BB"/>
    <w:rsid w:val="007C0B34"/>
    <w:rsid w:val="007C11D1"/>
    <w:rsid w:val="007C162E"/>
    <w:rsid w:val="007C19AF"/>
    <w:rsid w:val="007C1D34"/>
    <w:rsid w:val="007C1E13"/>
    <w:rsid w:val="007C21D8"/>
    <w:rsid w:val="007C2758"/>
    <w:rsid w:val="007C2B9D"/>
    <w:rsid w:val="007C2CA6"/>
    <w:rsid w:val="007C3589"/>
    <w:rsid w:val="007C39F7"/>
    <w:rsid w:val="007C4C45"/>
    <w:rsid w:val="007C4E34"/>
    <w:rsid w:val="007C5750"/>
    <w:rsid w:val="007C699A"/>
    <w:rsid w:val="007C792C"/>
    <w:rsid w:val="007D2ED3"/>
    <w:rsid w:val="007D3C39"/>
    <w:rsid w:val="007D3CBB"/>
    <w:rsid w:val="007D41FA"/>
    <w:rsid w:val="007D57F6"/>
    <w:rsid w:val="007D585C"/>
    <w:rsid w:val="007D598B"/>
    <w:rsid w:val="007D5A21"/>
    <w:rsid w:val="007D5ADE"/>
    <w:rsid w:val="007D605D"/>
    <w:rsid w:val="007D6A52"/>
    <w:rsid w:val="007D6D78"/>
    <w:rsid w:val="007D79AB"/>
    <w:rsid w:val="007E06BC"/>
    <w:rsid w:val="007E1720"/>
    <w:rsid w:val="007E195A"/>
    <w:rsid w:val="007E1B0B"/>
    <w:rsid w:val="007E2311"/>
    <w:rsid w:val="007E2509"/>
    <w:rsid w:val="007E2A07"/>
    <w:rsid w:val="007E2D0C"/>
    <w:rsid w:val="007E2E9B"/>
    <w:rsid w:val="007E40F9"/>
    <w:rsid w:val="007E431D"/>
    <w:rsid w:val="007E44C6"/>
    <w:rsid w:val="007E4FBF"/>
    <w:rsid w:val="007E5382"/>
    <w:rsid w:val="007E54F8"/>
    <w:rsid w:val="007E58FB"/>
    <w:rsid w:val="007E5DA6"/>
    <w:rsid w:val="007E61A9"/>
    <w:rsid w:val="007E6F89"/>
    <w:rsid w:val="007E7548"/>
    <w:rsid w:val="007E77AA"/>
    <w:rsid w:val="007E7B4F"/>
    <w:rsid w:val="007E7DC1"/>
    <w:rsid w:val="007F012A"/>
    <w:rsid w:val="007F438C"/>
    <w:rsid w:val="007F456B"/>
    <w:rsid w:val="007F4580"/>
    <w:rsid w:val="007F4AE2"/>
    <w:rsid w:val="007F4B05"/>
    <w:rsid w:val="007F536B"/>
    <w:rsid w:val="007F5650"/>
    <w:rsid w:val="007F5D03"/>
    <w:rsid w:val="007F618E"/>
    <w:rsid w:val="007F6655"/>
    <w:rsid w:val="007F698B"/>
    <w:rsid w:val="007F6E34"/>
    <w:rsid w:val="007F705F"/>
    <w:rsid w:val="007F73DA"/>
    <w:rsid w:val="007F753E"/>
    <w:rsid w:val="007F76F1"/>
    <w:rsid w:val="00800739"/>
    <w:rsid w:val="008007CF"/>
    <w:rsid w:val="0080094C"/>
    <w:rsid w:val="00800DC9"/>
    <w:rsid w:val="008011F2"/>
    <w:rsid w:val="0080188A"/>
    <w:rsid w:val="008018AA"/>
    <w:rsid w:val="00801920"/>
    <w:rsid w:val="00801E4E"/>
    <w:rsid w:val="00802965"/>
    <w:rsid w:val="00802B70"/>
    <w:rsid w:val="00803173"/>
    <w:rsid w:val="00803C74"/>
    <w:rsid w:val="00803D6F"/>
    <w:rsid w:val="0080499F"/>
    <w:rsid w:val="008055C5"/>
    <w:rsid w:val="008057BD"/>
    <w:rsid w:val="00805D8B"/>
    <w:rsid w:val="00805F21"/>
    <w:rsid w:val="00805FC9"/>
    <w:rsid w:val="0080640B"/>
    <w:rsid w:val="00806584"/>
    <w:rsid w:val="008065F8"/>
    <w:rsid w:val="008071A0"/>
    <w:rsid w:val="0080727B"/>
    <w:rsid w:val="008076ED"/>
    <w:rsid w:val="0081167B"/>
    <w:rsid w:val="008139C1"/>
    <w:rsid w:val="0081421B"/>
    <w:rsid w:val="008142F4"/>
    <w:rsid w:val="00814CC2"/>
    <w:rsid w:val="00815479"/>
    <w:rsid w:val="00815A6B"/>
    <w:rsid w:val="00815E54"/>
    <w:rsid w:val="00816946"/>
    <w:rsid w:val="00817219"/>
    <w:rsid w:val="00817385"/>
    <w:rsid w:val="008176F6"/>
    <w:rsid w:val="00820281"/>
    <w:rsid w:val="00820334"/>
    <w:rsid w:val="00820643"/>
    <w:rsid w:val="0082095C"/>
    <w:rsid w:val="00820974"/>
    <w:rsid w:val="008212F6"/>
    <w:rsid w:val="0082142A"/>
    <w:rsid w:val="008215F4"/>
    <w:rsid w:val="00821C45"/>
    <w:rsid w:val="00822222"/>
    <w:rsid w:val="00822A9E"/>
    <w:rsid w:val="00822CBF"/>
    <w:rsid w:val="008231D8"/>
    <w:rsid w:val="0082323B"/>
    <w:rsid w:val="00823275"/>
    <w:rsid w:val="008232C1"/>
    <w:rsid w:val="008235F5"/>
    <w:rsid w:val="00823C95"/>
    <w:rsid w:val="0082448E"/>
    <w:rsid w:val="008247C9"/>
    <w:rsid w:val="00824C82"/>
    <w:rsid w:val="0082589B"/>
    <w:rsid w:val="008259B0"/>
    <w:rsid w:val="00825AC2"/>
    <w:rsid w:val="00825B66"/>
    <w:rsid w:val="00825DB7"/>
    <w:rsid w:val="0082651E"/>
    <w:rsid w:val="008273D6"/>
    <w:rsid w:val="0082796D"/>
    <w:rsid w:val="0083064F"/>
    <w:rsid w:val="00830A21"/>
    <w:rsid w:val="008310E9"/>
    <w:rsid w:val="00831EF4"/>
    <w:rsid w:val="008321C2"/>
    <w:rsid w:val="0083258A"/>
    <w:rsid w:val="0083261E"/>
    <w:rsid w:val="00832DE7"/>
    <w:rsid w:val="0083352A"/>
    <w:rsid w:val="008335DD"/>
    <w:rsid w:val="00835147"/>
    <w:rsid w:val="0083529A"/>
    <w:rsid w:val="00835721"/>
    <w:rsid w:val="0083648B"/>
    <w:rsid w:val="00836F5D"/>
    <w:rsid w:val="0084024F"/>
    <w:rsid w:val="00840649"/>
    <w:rsid w:val="00841BD5"/>
    <w:rsid w:val="00842116"/>
    <w:rsid w:val="00842883"/>
    <w:rsid w:val="0084293D"/>
    <w:rsid w:val="00842FC4"/>
    <w:rsid w:val="00843085"/>
    <w:rsid w:val="008435D5"/>
    <w:rsid w:val="00843724"/>
    <w:rsid w:val="008442B6"/>
    <w:rsid w:val="00844DF4"/>
    <w:rsid w:val="00845447"/>
    <w:rsid w:val="00845646"/>
    <w:rsid w:val="00845D42"/>
    <w:rsid w:val="008462A6"/>
    <w:rsid w:val="0084667B"/>
    <w:rsid w:val="00846C86"/>
    <w:rsid w:val="008471EE"/>
    <w:rsid w:val="00847373"/>
    <w:rsid w:val="00847B8E"/>
    <w:rsid w:val="00847E60"/>
    <w:rsid w:val="00850E27"/>
    <w:rsid w:val="00850FD4"/>
    <w:rsid w:val="0085142A"/>
    <w:rsid w:val="00853720"/>
    <w:rsid w:val="008542A5"/>
    <w:rsid w:val="00854958"/>
    <w:rsid w:val="00855618"/>
    <w:rsid w:val="008577D2"/>
    <w:rsid w:val="00860856"/>
    <w:rsid w:val="00860F59"/>
    <w:rsid w:val="0086104F"/>
    <w:rsid w:val="008610BB"/>
    <w:rsid w:val="00861536"/>
    <w:rsid w:val="008616B1"/>
    <w:rsid w:val="00861810"/>
    <w:rsid w:val="008622D7"/>
    <w:rsid w:val="0086230D"/>
    <w:rsid w:val="008627E4"/>
    <w:rsid w:val="0086281A"/>
    <w:rsid w:val="0086284D"/>
    <w:rsid w:val="00862F12"/>
    <w:rsid w:val="008634EB"/>
    <w:rsid w:val="00863810"/>
    <w:rsid w:val="00863BCC"/>
    <w:rsid w:val="008642D5"/>
    <w:rsid w:val="00865153"/>
    <w:rsid w:val="00865B75"/>
    <w:rsid w:val="00866479"/>
    <w:rsid w:val="008667F1"/>
    <w:rsid w:val="008677A1"/>
    <w:rsid w:val="008678FB"/>
    <w:rsid w:val="0087021F"/>
    <w:rsid w:val="00870A97"/>
    <w:rsid w:val="00870C6E"/>
    <w:rsid w:val="008715EB"/>
    <w:rsid w:val="00872798"/>
    <w:rsid w:val="00872A1E"/>
    <w:rsid w:val="0087345A"/>
    <w:rsid w:val="00874702"/>
    <w:rsid w:val="00874937"/>
    <w:rsid w:val="008754F9"/>
    <w:rsid w:val="008766FA"/>
    <w:rsid w:val="008770D8"/>
    <w:rsid w:val="008771B1"/>
    <w:rsid w:val="00877A52"/>
    <w:rsid w:val="008807D6"/>
    <w:rsid w:val="00881748"/>
    <w:rsid w:val="0088207D"/>
    <w:rsid w:val="00882A94"/>
    <w:rsid w:val="00882D9B"/>
    <w:rsid w:val="00883011"/>
    <w:rsid w:val="00883723"/>
    <w:rsid w:val="0088464F"/>
    <w:rsid w:val="00884730"/>
    <w:rsid w:val="0088525D"/>
    <w:rsid w:val="00885422"/>
    <w:rsid w:val="008857BE"/>
    <w:rsid w:val="00885F6E"/>
    <w:rsid w:val="0088663A"/>
    <w:rsid w:val="0089029A"/>
    <w:rsid w:val="00890649"/>
    <w:rsid w:val="00890AEE"/>
    <w:rsid w:val="00891164"/>
    <w:rsid w:val="008914B4"/>
    <w:rsid w:val="00891722"/>
    <w:rsid w:val="008938B4"/>
    <w:rsid w:val="00893C0F"/>
    <w:rsid w:val="00894999"/>
    <w:rsid w:val="00895A77"/>
    <w:rsid w:val="00895B6D"/>
    <w:rsid w:val="00895FBF"/>
    <w:rsid w:val="00896566"/>
    <w:rsid w:val="008969DA"/>
    <w:rsid w:val="00896FAA"/>
    <w:rsid w:val="008975BA"/>
    <w:rsid w:val="00897DB4"/>
    <w:rsid w:val="00897E4F"/>
    <w:rsid w:val="008A2274"/>
    <w:rsid w:val="008A22EF"/>
    <w:rsid w:val="008A2E62"/>
    <w:rsid w:val="008A2EBC"/>
    <w:rsid w:val="008A30F5"/>
    <w:rsid w:val="008A348D"/>
    <w:rsid w:val="008A40DD"/>
    <w:rsid w:val="008A4817"/>
    <w:rsid w:val="008A49F7"/>
    <w:rsid w:val="008A4B12"/>
    <w:rsid w:val="008A5C93"/>
    <w:rsid w:val="008A6327"/>
    <w:rsid w:val="008A658C"/>
    <w:rsid w:val="008A6D74"/>
    <w:rsid w:val="008A7242"/>
    <w:rsid w:val="008A7B3E"/>
    <w:rsid w:val="008B01F6"/>
    <w:rsid w:val="008B2299"/>
    <w:rsid w:val="008B2C0F"/>
    <w:rsid w:val="008B2F46"/>
    <w:rsid w:val="008B3DF0"/>
    <w:rsid w:val="008B4050"/>
    <w:rsid w:val="008B4521"/>
    <w:rsid w:val="008B4983"/>
    <w:rsid w:val="008B4A1B"/>
    <w:rsid w:val="008B528C"/>
    <w:rsid w:val="008B5A1A"/>
    <w:rsid w:val="008B5E17"/>
    <w:rsid w:val="008B6073"/>
    <w:rsid w:val="008B6EF8"/>
    <w:rsid w:val="008B756C"/>
    <w:rsid w:val="008B768B"/>
    <w:rsid w:val="008B774A"/>
    <w:rsid w:val="008B786E"/>
    <w:rsid w:val="008C0BB7"/>
    <w:rsid w:val="008C18C6"/>
    <w:rsid w:val="008C1988"/>
    <w:rsid w:val="008C1D01"/>
    <w:rsid w:val="008C24B3"/>
    <w:rsid w:val="008C24C3"/>
    <w:rsid w:val="008C2599"/>
    <w:rsid w:val="008C2B31"/>
    <w:rsid w:val="008C2C89"/>
    <w:rsid w:val="008C3AD8"/>
    <w:rsid w:val="008C3BA0"/>
    <w:rsid w:val="008C4272"/>
    <w:rsid w:val="008C4310"/>
    <w:rsid w:val="008C4378"/>
    <w:rsid w:val="008C4D19"/>
    <w:rsid w:val="008C583C"/>
    <w:rsid w:val="008C5A5B"/>
    <w:rsid w:val="008C623D"/>
    <w:rsid w:val="008C644A"/>
    <w:rsid w:val="008D08FD"/>
    <w:rsid w:val="008D0D0D"/>
    <w:rsid w:val="008D118F"/>
    <w:rsid w:val="008D173D"/>
    <w:rsid w:val="008D1C85"/>
    <w:rsid w:val="008D318A"/>
    <w:rsid w:val="008D3AED"/>
    <w:rsid w:val="008D433B"/>
    <w:rsid w:val="008D43C6"/>
    <w:rsid w:val="008D451F"/>
    <w:rsid w:val="008D4987"/>
    <w:rsid w:val="008D5739"/>
    <w:rsid w:val="008D5E0D"/>
    <w:rsid w:val="008D61CA"/>
    <w:rsid w:val="008D65DE"/>
    <w:rsid w:val="008D6793"/>
    <w:rsid w:val="008D79F2"/>
    <w:rsid w:val="008D7B5F"/>
    <w:rsid w:val="008E07D2"/>
    <w:rsid w:val="008E16AF"/>
    <w:rsid w:val="008E3324"/>
    <w:rsid w:val="008E37DC"/>
    <w:rsid w:val="008E37E8"/>
    <w:rsid w:val="008E47A9"/>
    <w:rsid w:val="008E4C99"/>
    <w:rsid w:val="008E5916"/>
    <w:rsid w:val="008E5AC2"/>
    <w:rsid w:val="008E5E90"/>
    <w:rsid w:val="008E6753"/>
    <w:rsid w:val="008E6B06"/>
    <w:rsid w:val="008E734A"/>
    <w:rsid w:val="008E7703"/>
    <w:rsid w:val="008E7B05"/>
    <w:rsid w:val="008F0239"/>
    <w:rsid w:val="008F03E1"/>
    <w:rsid w:val="008F0EF3"/>
    <w:rsid w:val="008F16A2"/>
    <w:rsid w:val="008F1D69"/>
    <w:rsid w:val="008F26F0"/>
    <w:rsid w:val="008F2DD6"/>
    <w:rsid w:val="008F316C"/>
    <w:rsid w:val="008F34C3"/>
    <w:rsid w:val="008F3A53"/>
    <w:rsid w:val="008F4204"/>
    <w:rsid w:val="008F451E"/>
    <w:rsid w:val="008F542C"/>
    <w:rsid w:val="008F593D"/>
    <w:rsid w:val="008F5E83"/>
    <w:rsid w:val="008F5F1F"/>
    <w:rsid w:val="008F671F"/>
    <w:rsid w:val="008F672F"/>
    <w:rsid w:val="008F68B9"/>
    <w:rsid w:val="008F6C69"/>
    <w:rsid w:val="008F6C6B"/>
    <w:rsid w:val="008F7093"/>
    <w:rsid w:val="008F77C9"/>
    <w:rsid w:val="008F7A73"/>
    <w:rsid w:val="009002DB"/>
    <w:rsid w:val="00900718"/>
    <w:rsid w:val="00900970"/>
    <w:rsid w:val="00900B1F"/>
    <w:rsid w:val="00900B45"/>
    <w:rsid w:val="00901481"/>
    <w:rsid w:val="009014FD"/>
    <w:rsid w:val="009017FF"/>
    <w:rsid w:val="00901DD4"/>
    <w:rsid w:val="0090201A"/>
    <w:rsid w:val="0090215A"/>
    <w:rsid w:val="00902530"/>
    <w:rsid w:val="00903B5B"/>
    <w:rsid w:val="00904080"/>
    <w:rsid w:val="009041D6"/>
    <w:rsid w:val="00904C7E"/>
    <w:rsid w:val="0090531D"/>
    <w:rsid w:val="00905393"/>
    <w:rsid w:val="0090552D"/>
    <w:rsid w:val="00905592"/>
    <w:rsid w:val="00905B84"/>
    <w:rsid w:val="009061EC"/>
    <w:rsid w:val="009069AC"/>
    <w:rsid w:val="00906AEB"/>
    <w:rsid w:val="00906B2B"/>
    <w:rsid w:val="00906C87"/>
    <w:rsid w:val="00906E67"/>
    <w:rsid w:val="0090737E"/>
    <w:rsid w:val="00907C07"/>
    <w:rsid w:val="009104E3"/>
    <w:rsid w:val="009110C2"/>
    <w:rsid w:val="00911137"/>
    <w:rsid w:val="00911208"/>
    <w:rsid w:val="009112E6"/>
    <w:rsid w:val="00911305"/>
    <w:rsid w:val="00911CC6"/>
    <w:rsid w:val="00912CBA"/>
    <w:rsid w:val="00912D8B"/>
    <w:rsid w:val="009144FE"/>
    <w:rsid w:val="00914D54"/>
    <w:rsid w:val="00916784"/>
    <w:rsid w:val="00916906"/>
    <w:rsid w:val="00916BCC"/>
    <w:rsid w:val="00916DDD"/>
    <w:rsid w:val="00917321"/>
    <w:rsid w:val="00917872"/>
    <w:rsid w:val="0092064B"/>
    <w:rsid w:val="0092090D"/>
    <w:rsid w:val="009209D7"/>
    <w:rsid w:val="00920BAE"/>
    <w:rsid w:val="00920F58"/>
    <w:rsid w:val="00921467"/>
    <w:rsid w:val="00922188"/>
    <w:rsid w:val="00922390"/>
    <w:rsid w:val="009225DF"/>
    <w:rsid w:val="009229D6"/>
    <w:rsid w:val="0092343F"/>
    <w:rsid w:val="00923E5F"/>
    <w:rsid w:val="0092436D"/>
    <w:rsid w:val="00924FA3"/>
    <w:rsid w:val="00925125"/>
    <w:rsid w:val="0092566B"/>
    <w:rsid w:val="00925F36"/>
    <w:rsid w:val="009269C2"/>
    <w:rsid w:val="0092735A"/>
    <w:rsid w:val="009275E4"/>
    <w:rsid w:val="00927D89"/>
    <w:rsid w:val="0093085C"/>
    <w:rsid w:val="009308D9"/>
    <w:rsid w:val="009314F1"/>
    <w:rsid w:val="0093170E"/>
    <w:rsid w:val="0093210A"/>
    <w:rsid w:val="00932988"/>
    <w:rsid w:val="00932CAA"/>
    <w:rsid w:val="00932D2A"/>
    <w:rsid w:val="00933034"/>
    <w:rsid w:val="00933093"/>
    <w:rsid w:val="009330CE"/>
    <w:rsid w:val="0093321B"/>
    <w:rsid w:val="00934135"/>
    <w:rsid w:val="00934551"/>
    <w:rsid w:val="00934C7A"/>
    <w:rsid w:val="00934D73"/>
    <w:rsid w:val="00935EFA"/>
    <w:rsid w:val="00935FB4"/>
    <w:rsid w:val="00936C37"/>
    <w:rsid w:val="0093744F"/>
    <w:rsid w:val="00937A87"/>
    <w:rsid w:val="00940329"/>
    <w:rsid w:val="00940717"/>
    <w:rsid w:val="009408B4"/>
    <w:rsid w:val="00940FFC"/>
    <w:rsid w:val="00941965"/>
    <w:rsid w:val="00941DA3"/>
    <w:rsid w:val="00941DE6"/>
    <w:rsid w:val="009430AC"/>
    <w:rsid w:val="009430EE"/>
    <w:rsid w:val="0094453D"/>
    <w:rsid w:val="0094503E"/>
    <w:rsid w:val="009450D6"/>
    <w:rsid w:val="0094534B"/>
    <w:rsid w:val="00946373"/>
    <w:rsid w:val="00946A1C"/>
    <w:rsid w:val="00946D15"/>
    <w:rsid w:val="00946D38"/>
    <w:rsid w:val="00950B5D"/>
    <w:rsid w:val="0095156C"/>
    <w:rsid w:val="00951EB3"/>
    <w:rsid w:val="00951FA4"/>
    <w:rsid w:val="0095209C"/>
    <w:rsid w:val="009530A8"/>
    <w:rsid w:val="00953877"/>
    <w:rsid w:val="00954057"/>
    <w:rsid w:val="00954BE2"/>
    <w:rsid w:val="00954F79"/>
    <w:rsid w:val="00955AF5"/>
    <w:rsid w:val="00955B13"/>
    <w:rsid w:val="00956387"/>
    <w:rsid w:val="00956708"/>
    <w:rsid w:val="00957C45"/>
    <w:rsid w:val="0096007B"/>
    <w:rsid w:val="0096022B"/>
    <w:rsid w:val="009604D0"/>
    <w:rsid w:val="009611ED"/>
    <w:rsid w:val="00961404"/>
    <w:rsid w:val="00962035"/>
    <w:rsid w:val="0096250F"/>
    <w:rsid w:val="00962672"/>
    <w:rsid w:val="00962A4A"/>
    <w:rsid w:val="00962D59"/>
    <w:rsid w:val="00962FA6"/>
    <w:rsid w:val="00963412"/>
    <w:rsid w:val="00963BDA"/>
    <w:rsid w:val="00964125"/>
    <w:rsid w:val="009642BB"/>
    <w:rsid w:val="009643E6"/>
    <w:rsid w:val="00964FC0"/>
    <w:rsid w:val="00965289"/>
    <w:rsid w:val="00965446"/>
    <w:rsid w:val="00965907"/>
    <w:rsid w:val="00967825"/>
    <w:rsid w:val="00967998"/>
    <w:rsid w:val="00967AAD"/>
    <w:rsid w:val="00967DC9"/>
    <w:rsid w:val="00971B7B"/>
    <w:rsid w:val="00971D3C"/>
    <w:rsid w:val="00971E58"/>
    <w:rsid w:val="00972CC6"/>
    <w:rsid w:val="009739BF"/>
    <w:rsid w:val="009742E2"/>
    <w:rsid w:val="00974502"/>
    <w:rsid w:val="00975B34"/>
    <w:rsid w:val="00975D8E"/>
    <w:rsid w:val="00976E5D"/>
    <w:rsid w:val="009802DB"/>
    <w:rsid w:val="00980476"/>
    <w:rsid w:val="00981A05"/>
    <w:rsid w:val="00982726"/>
    <w:rsid w:val="0098286B"/>
    <w:rsid w:val="00983357"/>
    <w:rsid w:val="00983F5A"/>
    <w:rsid w:val="009848BD"/>
    <w:rsid w:val="00984C32"/>
    <w:rsid w:val="009850F8"/>
    <w:rsid w:val="00985451"/>
    <w:rsid w:val="00985731"/>
    <w:rsid w:val="00985D1B"/>
    <w:rsid w:val="0098682C"/>
    <w:rsid w:val="00986986"/>
    <w:rsid w:val="009872A6"/>
    <w:rsid w:val="00991D86"/>
    <w:rsid w:val="00991E61"/>
    <w:rsid w:val="00991F56"/>
    <w:rsid w:val="009923B5"/>
    <w:rsid w:val="00992931"/>
    <w:rsid w:val="009933EF"/>
    <w:rsid w:val="00994A1B"/>
    <w:rsid w:val="00994BC1"/>
    <w:rsid w:val="00995C7D"/>
    <w:rsid w:val="009965E3"/>
    <w:rsid w:val="00996780"/>
    <w:rsid w:val="009A0326"/>
    <w:rsid w:val="009A055F"/>
    <w:rsid w:val="009A0647"/>
    <w:rsid w:val="009A0D4C"/>
    <w:rsid w:val="009A15EF"/>
    <w:rsid w:val="009A2156"/>
    <w:rsid w:val="009A2577"/>
    <w:rsid w:val="009A2D73"/>
    <w:rsid w:val="009A3430"/>
    <w:rsid w:val="009A37B5"/>
    <w:rsid w:val="009A46F7"/>
    <w:rsid w:val="009A4A79"/>
    <w:rsid w:val="009A5873"/>
    <w:rsid w:val="009B0BA7"/>
    <w:rsid w:val="009B0DE4"/>
    <w:rsid w:val="009B215E"/>
    <w:rsid w:val="009B24F7"/>
    <w:rsid w:val="009B2703"/>
    <w:rsid w:val="009B2D3C"/>
    <w:rsid w:val="009B2F53"/>
    <w:rsid w:val="009B3299"/>
    <w:rsid w:val="009B3A0F"/>
    <w:rsid w:val="009B44A5"/>
    <w:rsid w:val="009B48B6"/>
    <w:rsid w:val="009B4C06"/>
    <w:rsid w:val="009B517B"/>
    <w:rsid w:val="009B519F"/>
    <w:rsid w:val="009B52F1"/>
    <w:rsid w:val="009B53B2"/>
    <w:rsid w:val="009B55F1"/>
    <w:rsid w:val="009B5AEF"/>
    <w:rsid w:val="009B6383"/>
    <w:rsid w:val="009B6912"/>
    <w:rsid w:val="009B76E7"/>
    <w:rsid w:val="009B7840"/>
    <w:rsid w:val="009B7984"/>
    <w:rsid w:val="009C05ED"/>
    <w:rsid w:val="009C0E88"/>
    <w:rsid w:val="009C112E"/>
    <w:rsid w:val="009C1385"/>
    <w:rsid w:val="009C1887"/>
    <w:rsid w:val="009C1AA6"/>
    <w:rsid w:val="009C1BDE"/>
    <w:rsid w:val="009C1C1D"/>
    <w:rsid w:val="009C2268"/>
    <w:rsid w:val="009C246F"/>
    <w:rsid w:val="009C2561"/>
    <w:rsid w:val="009C34D5"/>
    <w:rsid w:val="009C3773"/>
    <w:rsid w:val="009C4498"/>
    <w:rsid w:val="009C5005"/>
    <w:rsid w:val="009C7B26"/>
    <w:rsid w:val="009D0374"/>
    <w:rsid w:val="009D1580"/>
    <w:rsid w:val="009D1938"/>
    <w:rsid w:val="009D1A91"/>
    <w:rsid w:val="009D2139"/>
    <w:rsid w:val="009D225A"/>
    <w:rsid w:val="009D2D93"/>
    <w:rsid w:val="009D32EE"/>
    <w:rsid w:val="009D33EE"/>
    <w:rsid w:val="009D49EC"/>
    <w:rsid w:val="009D51CD"/>
    <w:rsid w:val="009D58C2"/>
    <w:rsid w:val="009D69E2"/>
    <w:rsid w:val="009D71CE"/>
    <w:rsid w:val="009D7352"/>
    <w:rsid w:val="009D7456"/>
    <w:rsid w:val="009D794C"/>
    <w:rsid w:val="009E0EFB"/>
    <w:rsid w:val="009E1ECC"/>
    <w:rsid w:val="009E2B77"/>
    <w:rsid w:val="009E2C12"/>
    <w:rsid w:val="009E2C9D"/>
    <w:rsid w:val="009E2F7C"/>
    <w:rsid w:val="009E3631"/>
    <w:rsid w:val="009E3CD9"/>
    <w:rsid w:val="009E3D63"/>
    <w:rsid w:val="009E3F76"/>
    <w:rsid w:val="009E49CA"/>
    <w:rsid w:val="009E638D"/>
    <w:rsid w:val="009E6470"/>
    <w:rsid w:val="009E67E1"/>
    <w:rsid w:val="009E6B0D"/>
    <w:rsid w:val="009E726A"/>
    <w:rsid w:val="009E735D"/>
    <w:rsid w:val="009E7B48"/>
    <w:rsid w:val="009F020B"/>
    <w:rsid w:val="009F123C"/>
    <w:rsid w:val="009F1545"/>
    <w:rsid w:val="009F16BE"/>
    <w:rsid w:val="009F1763"/>
    <w:rsid w:val="009F1CA3"/>
    <w:rsid w:val="009F2222"/>
    <w:rsid w:val="009F2D85"/>
    <w:rsid w:val="009F32ED"/>
    <w:rsid w:val="009F40B9"/>
    <w:rsid w:val="009F4263"/>
    <w:rsid w:val="009F4266"/>
    <w:rsid w:val="009F4975"/>
    <w:rsid w:val="009F4CF1"/>
    <w:rsid w:val="009F4D88"/>
    <w:rsid w:val="009F510C"/>
    <w:rsid w:val="009F5543"/>
    <w:rsid w:val="009F56C1"/>
    <w:rsid w:val="009F63C7"/>
    <w:rsid w:val="009F66DD"/>
    <w:rsid w:val="009F7239"/>
    <w:rsid w:val="009F793C"/>
    <w:rsid w:val="00A0004C"/>
    <w:rsid w:val="00A01B10"/>
    <w:rsid w:val="00A01BC8"/>
    <w:rsid w:val="00A01CA4"/>
    <w:rsid w:val="00A02D00"/>
    <w:rsid w:val="00A036F2"/>
    <w:rsid w:val="00A04472"/>
    <w:rsid w:val="00A04604"/>
    <w:rsid w:val="00A05CCC"/>
    <w:rsid w:val="00A06305"/>
    <w:rsid w:val="00A0703B"/>
    <w:rsid w:val="00A07B34"/>
    <w:rsid w:val="00A07C99"/>
    <w:rsid w:val="00A07F04"/>
    <w:rsid w:val="00A101B8"/>
    <w:rsid w:val="00A10F3F"/>
    <w:rsid w:val="00A10F86"/>
    <w:rsid w:val="00A10F9E"/>
    <w:rsid w:val="00A10FC4"/>
    <w:rsid w:val="00A119F9"/>
    <w:rsid w:val="00A11B00"/>
    <w:rsid w:val="00A11F55"/>
    <w:rsid w:val="00A12783"/>
    <w:rsid w:val="00A12A69"/>
    <w:rsid w:val="00A12B26"/>
    <w:rsid w:val="00A12C97"/>
    <w:rsid w:val="00A12DC2"/>
    <w:rsid w:val="00A12FA8"/>
    <w:rsid w:val="00A13060"/>
    <w:rsid w:val="00A141E5"/>
    <w:rsid w:val="00A14338"/>
    <w:rsid w:val="00A14A98"/>
    <w:rsid w:val="00A15884"/>
    <w:rsid w:val="00A15CD1"/>
    <w:rsid w:val="00A1603F"/>
    <w:rsid w:val="00A16AC1"/>
    <w:rsid w:val="00A17113"/>
    <w:rsid w:val="00A1791C"/>
    <w:rsid w:val="00A21289"/>
    <w:rsid w:val="00A21D98"/>
    <w:rsid w:val="00A220A7"/>
    <w:rsid w:val="00A22595"/>
    <w:rsid w:val="00A22D5D"/>
    <w:rsid w:val="00A24981"/>
    <w:rsid w:val="00A24D47"/>
    <w:rsid w:val="00A251B7"/>
    <w:rsid w:val="00A26094"/>
    <w:rsid w:val="00A26465"/>
    <w:rsid w:val="00A26628"/>
    <w:rsid w:val="00A27E53"/>
    <w:rsid w:val="00A308AF"/>
    <w:rsid w:val="00A3164E"/>
    <w:rsid w:val="00A31920"/>
    <w:rsid w:val="00A31B86"/>
    <w:rsid w:val="00A32F9B"/>
    <w:rsid w:val="00A33980"/>
    <w:rsid w:val="00A34013"/>
    <w:rsid w:val="00A345B5"/>
    <w:rsid w:val="00A35277"/>
    <w:rsid w:val="00A3555C"/>
    <w:rsid w:val="00A36096"/>
    <w:rsid w:val="00A3615A"/>
    <w:rsid w:val="00A366DF"/>
    <w:rsid w:val="00A367EE"/>
    <w:rsid w:val="00A36D6D"/>
    <w:rsid w:val="00A40430"/>
    <w:rsid w:val="00A418DB"/>
    <w:rsid w:val="00A41EB0"/>
    <w:rsid w:val="00A4219C"/>
    <w:rsid w:val="00A427BE"/>
    <w:rsid w:val="00A438CF"/>
    <w:rsid w:val="00A444D9"/>
    <w:rsid w:val="00A45DC2"/>
    <w:rsid w:val="00A4619D"/>
    <w:rsid w:val="00A50271"/>
    <w:rsid w:val="00A5032D"/>
    <w:rsid w:val="00A50677"/>
    <w:rsid w:val="00A52385"/>
    <w:rsid w:val="00A524D4"/>
    <w:rsid w:val="00A52557"/>
    <w:rsid w:val="00A5261A"/>
    <w:rsid w:val="00A52F82"/>
    <w:rsid w:val="00A530E4"/>
    <w:rsid w:val="00A53335"/>
    <w:rsid w:val="00A534FB"/>
    <w:rsid w:val="00A5446C"/>
    <w:rsid w:val="00A544DF"/>
    <w:rsid w:val="00A548E2"/>
    <w:rsid w:val="00A54F0F"/>
    <w:rsid w:val="00A55EAF"/>
    <w:rsid w:val="00A55FB0"/>
    <w:rsid w:val="00A56078"/>
    <w:rsid w:val="00A56792"/>
    <w:rsid w:val="00A5685A"/>
    <w:rsid w:val="00A604A7"/>
    <w:rsid w:val="00A605DD"/>
    <w:rsid w:val="00A6066D"/>
    <w:rsid w:val="00A611B6"/>
    <w:rsid w:val="00A615DB"/>
    <w:rsid w:val="00A62006"/>
    <w:rsid w:val="00A620CA"/>
    <w:rsid w:val="00A621DD"/>
    <w:rsid w:val="00A62612"/>
    <w:rsid w:val="00A640B2"/>
    <w:rsid w:val="00A64485"/>
    <w:rsid w:val="00A64B63"/>
    <w:rsid w:val="00A64FF6"/>
    <w:rsid w:val="00A65279"/>
    <w:rsid w:val="00A65384"/>
    <w:rsid w:val="00A653B9"/>
    <w:rsid w:val="00A65662"/>
    <w:rsid w:val="00A66274"/>
    <w:rsid w:val="00A662A9"/>
    <w:rsid w:val="00A66695"/>
    <w:rsid w:val="00A66A64"/>
    <w:rsid w:val="00A67713"/>
    <w:rsid w:val="00A67802"/>
    <w:rsid w:val="00A701BD"/>
    <w:rsid w:val="00A708E8"/>
    <w:rsid w:val="00A70DB0"/>
    <w:rsid w:val="00A7125E"/>
    <w:rsid w:val="00A713C0"/>
    <w:rsid w:val="00A71FFE"/>
    <w:rsid w:val="00A72100"/>
    <w:rsid w:val="00A72715"/>
    <w:rsid w:val="00A72B4F"/>
    <w:rsid w:val="00A72F42"/>
    <w:rsid w:val="00A72FED"/>
    <w:rsid w:val="00A73334"/>
    <w:rsid w:val="00A73526"/>
    <w:rsid w:val="00A73925"/>
    <w:rsid w:val="00A73E31"/>
    <w:rsid w:val="00A74009"/>
    <w:rsid w:val="00A7411B"/>
    <w:rsid w:val="00A74DAC"/>
    <w:rsid w:val="00A74F34"/>
    <w:rsid w:val="00A75258"/>
    <w:rsid w:val="00A75460"/>
    <w:rsid w:val="00A7607B"/>
    <w:rsid w:val="00A76640"/>
    <w:rsid w:val="00A76A28"/>
    <w:rsid w:val="00A774C0"/>
    <w:rsid w:val="00A776B1"/>
    <w:rsid w:val="00A7785C"/>
    <w:rsid w:val="00A807EA"/>
    <w:rsid w:val="00A80A3A"/>
    <w:rsid w:val="00A823B5"/>
    <w:rsid w:val="00A82496"/>
    <w:rsid w:val="00A824A3"/>
    <w:rsid w:val="00A826BD"/>
    <w:rsid w:val="00A82D71"/>
    <w:rsid w:val="00A83D83"/>
    <w:rsid w:val="00A8467F"/>
    <w:rsid w:val="00A84757"/>
    <w:rsid w:val="00A84A8B"/>
    <w:rsid w:val="00A84E04"/>
    <w:rsid w:val="00A85176"/>
    <w:rsid w:val="00A8550F"/>
    <w:rsid w:val="00A86037"/>
    <w:rsid w:val="00A863D0"/>
    <w:rsid w:val="00A86DD9"/>
    <w:rsid w:val="00A8742D"/>
    <w:rsid w:val="00A87A59"/>
    <w:rsid w:val="00A9069F"/>
    <w:rsid w:val="00A9100F"/>
    <w:rsid w:val="00A915D5"/>
    <w:rsid w:val="00A91BF2"/>
    <w:rsid w:val="00A923F7"/>
    <w:rsid w:val="00A92824"/>
    <w:rsid w:val="00A9314F"/>
    <w:rsid w:val="00A937EC"/>
    <w:rsid w:val="00A93C11"/>
    <w:rsid w:val="00A93E85"/>
    <w:rsid w:val="00A9428B"/>
    <w:rsid w:val="00A94A5D"/>
    <w:rsid w:val="00A950F7"/>
    <w:rsid w:val="00A9575B"/>
    <w:rsid w:val="00A95A2E"/>
    <w:rsid w:val="00A96405"/>
    <w:rsid w:val="00A96772"/>
    <w:rsid w:val="00A97358"/>
    <w:rsid w:val="00AA042A"/>
    <w:rsid w:val="00AA0E44"/>
    <w:rsid w:val="00AA0EA7"/>
    <w:rsid w:val="00AA1362"/>
    <w:rsid w:val="00AA1845"/>
    <w:rsid w:val="00AA2282"/>
    <w:rsid w:val="00AA2359"/>
    <w:rsid w:val="00AA299F"/>
    <w:rsid w:val="00AA2C35"/>
    <w:rsid w:val="00AA30EB"/>
    <w:rsid w:val="00AA3345"/>
    <w:rsid w:val="00AA3574"/>
    <w:rsid w:val="00AA3BF8"/>
    <w:rsid w:val="00AA5505"/>
    <w:rsid w:val="00AA553B"/>
    <w:rsid w:val="00AA59A0"/>
    <w:rsid w:val="00AA6417"/>
    <w:rsid w:val="00AA6A7E"/>
    <w:rsid w:val="00AA6DA2"/>
    <w:rsid w:val="00AA6DB3"/>
    <w:rsid w:val="00AA6E36"/>
    <w:rsid w:val="00AA7AE8"/>
    <w:rsid w:val="00AB0029"/>
    <w:rsid w:val="00AB09BF"/>
    <w:rsid w:val="00AB103C"/>
    <w:rsid w:val="00AB2144"/>
    <w:rsid w:val="00AB278F"/>
    <w:rsid w:val="00AB2D8A"/>
    <w:rsid w:val="00AB3EFD"/>
    <w:rsid w:val="00AB4050"/>
    <w:rsid w:val="00AB4762"/>
    <w:rsid w:val="00AB50BF"/>
    <w:rsid w:val="00AB52C2"/>
    <w:rsid w:val="00AB5512"/>
    <w:rsid w:val="00AB6292"/>
    <w:rsid w:val="00AB67B4"/>
    <w:rsid w:val="00AC0789"/>
    <w:rsid w:val="00AC0D72"/>
    <w:rsid w:val="00AC0F10"/>
    <w:rsid w:val="00AC0F37"/>
    <w:rsid w:val="00AC1433"/>
    <w:rsid w:val="00AC22FD"/>
    <w:rsid w:val="00AC24BD"/>
    <w:rsid w:val="00AC26ED"/>
    <w:rsid w:val="00AC2DDB"/>
    <w:rsid w:val="00AC2FB0"/>
    <w:rsid w:val="00AC2FEC"/>
    <w:rsid w:val="00AC3424"/>
    <w:rsid w:val="00AC3870"/>
    <w:rsid w:val="00AC448F"/>
    <w:rsid w:val="00AC4880"/>
    <w:rsid w:val="00AC5036"/>
    <w:rsid w:val="00AC5615"/>
    <w:rsid w:val="00AC597A"/>
    <w:rsid w:val="00AC6075"/>
    <w:rsid w:val="00AC664C"/>
    <w:rsid w:val="00AC6D6D"/>
    <w:rsid w:val="00AC7308"/>
    <w:rsid w:val="00AC73C3"/>
    <w:rsid w:val="00AD0031"/>
    <w:rsid w:val="00AD13FE"/>
    <w:rsid w:val="00AD23CD"/>
    <w:rsid w:val="00AD2600"/>
    <w:rsid w:val="00AD2D61"/>
    <w:rsid w:val="00AD4032"/>
    <w:rsid w:val="00AD405C"/>
    <w:rsid w:val="00AD4BB6"/>
    <w:rsid w:val="00AD5826"/>
    <w:rsid w:val="00AD5901"/>
    <w:rsid w:val="00AD5AC5"/>
    <w:rsid w:val="00AD7363"/>
    <w:rsid w:val="00AD7687"/>
    <w:rsid w:val="00AD7D70"/>
    <w:rsid w:val="00AE14ED"/>
    <w:rsid w:val="00AE23B5"/>
    <w:rsid w:val="00AE31CA"/>
    <w:rsid w:val="00AE3265"/>
    <w:rsid w:val="00AE39BD"/>
    <w:rsid w:val="00AE3EF0"/>
    <w:rsid w:val="00AE3F72"/>
    <w:rsid w:val="00AE430E"/>
    <w:rsid w:val="00AE5DA1"/>
    <w:rsid w:val="00AE5F15"/>
    <w:rsid w:val="00AE6467"/>
    <w:rsid w:val="00AE66C7"/>
    <w:rsid w:val="00AE7976"/>
    <w:rsid w:val="00AE7DFF"/>
    <w:rsid w:val="00AF03D0"/>
    <w:rsid w:val="00AF058A"/>
    <w:rsid w:val="00AF062B"/>
    <w:rsid w:val="00AF1220"/>
    <w:rsid w:val="00AF138B"/>
    <w:rsid w:val="00AF1A92"/>
    <w:rsid w:val="00AF1EC7"/>
    <w:rsid w:val="00AF2040"/>
    <w:rsid w:val="00AF2456"/>
    <w:rsid w:val="00AF2552"/>
    <w:rsid w:val="00AF2AEB"/>
    <w:rsid w:val="00AF2B37"/>
    <w:rsid w:val="00AF2D6B"/>
    <w:rsid w:val="00AF33FF"/>
    <w:rsid w:val="00AF3634"/>
    <w:rsid w:val="00AF5A3C"/>
    <w:rsid w:val="00AF5F33"/>
    <w:rsid w:val="00AF63FA"/>
    <w:rsid w:val="00AF7006"/>
    <w:rsid w:val="00AF7B71"/>
    <w:rsid w:val="00B002F3"/>
    <w:rsid w:val="00B010E1"/>
    <w:rsid w:val="00B0162F"/>
    <w:rsid w:val="00B02F49"/>
    <w:rsid w:val="00B03FEC"/>
    <w:rsid w:val="00B04B25"/>
    <w:rsid w:val="00B064A4"/>
    <w:rsid w:val="00B06613"/>
    <w:rsid w:val="00B07808"/>
    <w:rsid w:val="00B07A8E"/>
    <w:rsid w:val="00B07B59"/>
    <w:rsid w:val="00B10A86"/>
    <w:rsid w:val="00B10B9A"/>
    <w:rsid w:val="00B11098"/>
    <w:rsid w:val="00B11412"/>
    <w:rsid w:val="00B11535"/>
    <w:rsid w:val="00B119AE"/>
    <w:rsid w:val="00B119D3"/>
    <w:rsid w:val="00B11C99"/>
    <w:rsid w:val="00B125D5"/>
    <w:rsid w:val="00B12BB8"/>
    <w:rsid w:val="00B13039"/>
    <w:rsid w:val="00B14728"/>
    <w:rsid w:val="00B14A40"/>
    <w:rsid w:val="00B154FC"/>
    <w:rsid w:val="00B15522"/>
    <w:rsid w:val="00B15A5F"/>
    <w:rsid w:val="00B16B17"/>
    <w:rsid w:val="00B16BED"/>
    <w:rsid w:val="00B17B3A"/>
    <w:rsid w:val="00B20452"/>
    <w:rsid w:val="00B2077B"/>
    <w:rsid w:val="00B2087A"/>
    <w:rsid w:val="00B22367"/>
    <w:rsid w:val="00B22834"/>
    <w:rsid w:val="00B22C38"/>
    <w:rsid w:val="00B23607"/>
    <w:rsid w:val="00B2396E"/>
    <w:rsid w:val="00B23CC6"/>
    <w:rsid w:val="00B24823"/>
    <w:rsid w:val="00B24B5F"/>
    <w:rsid w:val="00B252EC"/>
    <w:rsid w:val="00B2561B"/>
    <w:rsid w:val="00B258AB"/>
    <w:rsid w:val="00B25DA3"/>
    <w:rsid w:val="00B25DF2"/>
    <w:rsid w:val="00B25FBB"/>
    <w:rsid w:val="00B3015E"/>
    <w:rsid w:val="00B3065E"/>
    <w:rsid w:val="00B31421"/>
    <w:rsid w:val="00B316EF"/>
    <w:rsid w:val="00B322B0"/>
    <w:rsid w:val="00B32358"/>
    <w:rsid w:val="00B33CF5"/>
    <w:rsid w:val="00B33EC1"/>
    <w:rsid w:val="00B34172"/>
    <w:rsid w:val="00B341AC"/>
    <w:rsid w:val="00B341B3"/>
    <w:rsid w:val="00B3423E"/>
    <w:rsid w:val="00B34308"/>
    <w:rsid w:val="00B34D20"/>
    <w:rsid w:val="00B34D79"/>
    <w:rsid w:val="00B351F8"/>
    <w:rsid w:val="00B3533C"/>
    <w:rsid w:val="00B353FF"/>
    <w:rsid w:val="00B359C4"/>
    <w:rsid w:val="00B3642A"/>
    <w:rsid w:val="00B36716"/>
    <w:rsid w:val="00B36FC4"/>
    <w:rsid w:val="00B37013"/>
    <w:rsid w:val="00B373D3"/>
    <w:rsid w:val="00B37BE6"/>
    <w:rsid w:val="00B40244"/>
    <w:rsid w:val="00B40774"/>
    <w:rsid w:val="00B40BF2"/>
    <w:rsid w:val="00B418D3"/>
    <w:rsid w:val="00B419BF"/>
    <w:rsid w:val="00B41B77"/>
    <w:rsid w:val="00B426ED"/>
    <w:rsid w:val="00B42814"/>
    <w:rsid w:val="00B4296F"/>
    <w:rsid w:val="00B42E0C"/>
    <w:rsid w:val="00B42F81"/>
    <w:rsid w:val="00B43032"/>
    <w:rsid w:val="00B436D9"/>
    <w:rsid w:val="00B43A36"/>
    <w:rsid w:val="00B43E42"/>
    <w:rsid w:val="00B443CE"/>
    <w:rsid w:val="00B447C0"/>
    <w:rsid w:val="00B45264"/>
    <w:rsid w:val="00B45497"/>
    <w:rsid w:val="00B455F6"/>
    <w:rsid w:val="00B456F9"/>
    <w:rsid w:val="00B459D3"/>
    <w:rsid w:val="00B459FD"/>
    <w:rsid w:val="00B45D54"/>
    <w:rsid w:val="00B466D9"/>
    <w:rsid w:val="00B4686F"/>
    <w:rsid w:val="00B46949"/>
    <w:rsid w:val="00B46A5C"/>
    <w:rsid w:val="00B46B23"/>
    <w:rsid w:val="00B47986"/>
    <w:rsid w:val="00B47E64"/>
    <w:rsid w:val="00B5043D"/>
    <w:rsid w:val="00B50CA3"/>
    <w:rsid w:val="00B515BD"/>
    <w:rsid w:val="00B51FB8"/>
    <w:rsid w:val="00B52773"/>
    <w:rsid w:val="00B534DA"/>
    <w:rsid w:val="00B538EE"/>
    <w:rsid w:val="00B53F62"/>
    <w:rsid w:val="00B54432"/>
    <w:rsid w:val="00B54439"/>
    <w:rsid w:val="00B54820"/>
    <w:rsid w:val="00B548E9"/>
    <w:rsid w:val="00B54DD4"/>
    <w:rsid w:val="00B55AB1"/>
    <w:rsid w:val="00B560A9"/>
    <w:rsid w:val="00B56A0A"/>
    <w:rsid w:val="00B56FE1"/>
    <w:rsid w:val="00B57B86"/>
    <w:rsid w:val="00B60A04"/>
    <w:rsid w:val="00B60C38"/>
    <w:rsid w:val="00B6169B"/>
    <w:rsid w:val="00B61CF7"/>
    <w:rsid w:val="00B62DFC"/>
    <w:rsid w:val="00B632B1"/>
    <w:rsid w:val="00B636F0"/>
    <w:rsid w:val="00B64459"/>
    <w:rsid w:val="00B64A0C"/>
    <w:rsid w:val="00B652AC"/>
    <w:rsid w:val="00B65ACA"/>
    <w:rsid w:val="00B666B7"/>
    <w:rsid w:val="00B66D28"/>
    <w:rsid w:val="00B66F5F"/>
    <w:rsid w:val="00B67253"/>
    <w:rsid w:val="00B674D9"/>
    <w:rsid w:val="00B6765B"/>
    <w:rsid w:val="00B676B6"/>
    <w:rsid w:val="00B6798E"/>
    <w:rsid w:val="00B67ED1"/>
    <w:rsid w:val="00B7135C"/>
    <w:rsid w:val="00B71794"/>
    <w:rsid w:val="00B71C18"/>
    <w:rsid w:val="00B724A4"/>
    <w:rsid w:val="00B7380C"/>
    <w:rsid w:val="00B7459B"/>
    <w:rsid w:val="00B74B09"/>
    <w:rsid w:val="00B74EE4"/>
    <w:rsid w:val="00B7604C"/>
    <w:rsid w:val="00B762EC"/>
    <w:rsid w:val="00B764C0"/>
    <w:rsid w:val="00B765A8"/>
    <w:rsid w:val="00B768D5"/>
    <w:rsid w:val="00B76D6F"/>
    <w:rsid w:val="00B76E9E"/>
    <w:rsid w:val="00B774E2"/>
    <w:rsid w:val="00B77FD3"/>
    <w:rsid w:val="00B80177"/>
    <w:rsid w:val="00B80693"/>
    <w:rsid w:val="00B808A6"/>
    <w:rsid w:val="00B80990"/>
    <w:rsid w:val="00B81093"/>
    <w:rsid w:val="00B811DB"/>
    <w:rsid w:val="00B8184A"/>
    <w:rsid w:val="00B81EDD"/>
    <w:rsid w:val="00B8307A"/>
    <w:rsid w:val="00B832C5"/>
    <w:rsid w:val="00B83935"/>
    <w:rsid w:val="00B845C2"/>
    <w:rsid w:val="00B853E3"/>
    <w:rsid w:val="00B85CE0"/>
    <w:rsid w:val="00B85DC6"/>
    <w:rsid w:val="00B86A7A"/>
    <w:rsid w:val="00B86C60"/>
    <w:rsid w:val="00B8799D"/>
    <w:rsid w:val="00B87C63"/>
    <w:rsid w:val="00B87C8F"/>
    <w:rsid w:val="00B90020"/>
    <w:rsid w:val="00B90F12"/>
    <w:rsid w:val="00B90FB8"/>
    <w:rsid w:val="00B91090"/>
    <w:rsid w:val="00B91102"/>
    <w:rsid w:val="00B92407"/>
    <w:rsid w:val="00B928FD"/>
    <w:rsid w:val="00B92BB6"/>
    <w:rsid w:val="00B930F9"/>
    <w:rsid w:val="00B935A0"/>
    <w:rsid w:val="00B936BE"/>
    <w:rsid w:val="00B93DFA"/>
    <w:rsid w:val="00B95413"/>
    <w:rsid w:val="00B95817"/>
    <w:rsid w:val="00B9625F"/>
    <w:rsid w:val="00B9627D"/>
    <w:rsid w:val="00B9650D"/>
    <w:rsid w:val="00B965C5"/>
    <w:rsid w:val="00B96C56"/>
    <w:rsid w:val="00B96F41"/>
    <w:rsid w:val="00B97468"/>
    <w:rsid w:val="00B97B09"/>
    <w:rsid w:val="00BA1BC0"/>
    <w:rsid w:val="00BA1E70"/>
    <w:rsid w:val="00BA20DA"/>
    <w:rsid w:val="00BA2399"/>
    <w:rsid w:val="00BA23F8"/>
    <w:rsid w:val="00BA240E"/>
    <w:rsid w:val="00BA3818"/>
    <w:rsid w:val="00BA390F"/>
    <w:rsid w:val="00BA42AE"/>
    <w:rsid w:val="00BA55B3"/>
    <w:rsid w:val="00BA5B92"/>
    <w:rsid w:val="00BA5CFD"/>
    <w:rsid w:val="00BA6B81"/>
    <w:rsid w:val="00BA6D66"/>
    <w:rsid w:val="00BA7205"/>
    <w:rsid w:val="00BA77B2"/>
    <w:rsid w:val="00BB06EE"/>
    <w:rsid w:val="00BB0837"/>
    <w:rsid w:val="00BB0884"/>
    <w:rsid w:val="00BB0DA2"/>
    <w:rsid w:val="00BB10D5"/>
    <w:rsid w:val="00BB1A76"/>
    <w:rsid w:val="00BB27AF"/>
    <w:rsid w:val="00BB2AAE"/>
    <w:rsid w:val="00BB3C63"/>
    <w:rsid w:val="00BB4EF1"/>
    <w:rsid w:val="00BB5074"/>
    <w:rsid w:val="00BB5FE1"/>
    <w:rsid w:val="00BB6ACF"/>
    <w:rsid w:val="00BB6D76"/>
    <w:rsid w:val="00BB6D80"/>
    <w:rsid w:val="00BB6DEF"/>
    <w:rsid w:val="00BC018B"/>
    <w:rsid w:val="00BC0590"/>
    <w:rsid w:val="00BC0ADA"/>
    <w:rsid w:val="00BC1226"/>
    <w:rsid w:val="00BC1306"/>
    <w:rsid w:val="00BC148B"/>
    <w:rsid w:val="00BC1BEC"/>
    <w:rsid w:val="00BC1F25"/>
    <w:rsid w:val="00BC2596"/>
    <w:rsid w:val="00BC278C"/>
    <w:rsid w:val="00BC2E0F"/>
    <w:rsid w:val="00BC32B7"/>
    <w:rsid w:val="00BC5D07"/>
    <w:rsid w:val="00BC5EE5"/>
    <w:rsid w:val="00BC66ED"/>
    <w:rsid w:val="00BC6F46"/>
    <w:rsid w:val="00BC73AF"/>
    <w:rsid w:val="00BD06DE"/>
    <w:rsid w:val="00BD12C3"/>
    <w:rsid w:val="00BD1994"/>
    <w:rsid w:val="00BD1B41"/>
    <w:rsid w:val="00BD1B98"/>
    <w:rsid w:val="00BD2319"/>
    <w:rsid w:val="00BD2814"/>
    <w:rsid w:val="00BD2D0D"/>
    <w:rsid w:val="00BD3218"/>
    <w:rsid w:val="00BD3A8E"/>
    <w:rsid w:val="00BD3E1C"/>
    <w:rsid w:val="00BD448A"/>
    <w:rsid w:val="00BD45CC"/>
    <w:rsid w:val="00BD4D2A"/>
    <w:rsid w:val="00BD4D38"/>
    <w:rsid w:val="00BD6615"/>
    <w:rsid w:val="00BD665E"/>
    <w:rsid w:val="00BD673F"/>
    <w:rsid w:val="00BD6E0F"/>
    <w:rsid w:val="00BD6E1A"/>
    <w:rsid w:val="00BD7292"/>
    <w:rsid w:val="00BD7661"/>
    <w:rsid w:val="00BD782C"/>
    <w:rsid w:val="00BE0AEB"/>
    <w:rsid w:val="00BE0CE3"/>
    <w:rsid w:val="00BE185C"/>
    <w:rsid w:val="00BE19A8"/>
    <w:rsid w:val="00BE1A9F"/>
    <w:rsid w:val="00BE1BA4"/>
    <w:rsid w:val="00BE27D2"/>
    <w:rsid w:val="00BE2800"/>
    <w:rsid w:val="00BE29BF"/>
    <w:rsid w:val="00BE2EE8"/>
    <w:rsid w:val="00BE388F"/>
    <w:rsid w:val="00BE3B82"/>
    <w:rsid w:val="00BE3D32"/>
    <w:rsid w:val="00BE3F43"/>
    <w:rsid w:val="00BE3FA3"/>
    <w:rsid w:val="00BE43FA"/>
    <w:rsid w:val="00BE4CEE"/>
    <w:rsid w:val="00BE67B0"/>
    <w:rsid w:val="00BE6B48"/>
    <w:rsid w:val="00BE7F55"/>
    <w:rsid w:val="00BF0183"/>
    <w:rsid w:val="00BF03C9"/>
    <w:rsid w:val="00BF06C8"/>
    <w:rsid w:val="00BF14B2"/>
    <w:rsid w:val="00BF15CC"/>
    <w:rsid w:val="00BF1AEC"/>
    <w:rsid w:val="00BF1ED7"/>
    <w:rsid w:val="00BF26FF"/>
    <w:rsid w:val="00BF2831"/>
    <w:rsid w:val="00BF28B1"/>
    <w:rsid w:val="00BF2CEC"/>
    <w:rsid w:val="00BF330B"/>
    <w:rsid w:val="00BF3C67"/>
    <w:rsid w:val="00BF40F1"/>
    <w:rsid w:val="00BF566C"/>
    <w:rsid w:val="00BF5CE1"/>
    <w:rsid w:val="00BF6330"/>
    <w:rsid w:val="00BF677D"/>
    <w:rsid w:val="00BF6B3F"/>
    <w:rsid w:val="00BF771E"/>
    <w:rsid w:val="00BF7B6E"/>
    <w:rsid w:val="00C00551"/>
    <w:rsid w:val="00C010EC"/>
    <w:rsid w:val="00C014DC"/>
    <w:rsid w:val="00C022A7"/>
    <w:rsid w:val="00C02CEE"/>
    <w:rsid w:val="00C034CA"/>
    <w:rsid w:val="00C03E70"/>
    <w:rsid w:val="00C047B1"/>
    <w:rsid w:val="00C0491E"/>
    <w:rsid w:val="00C04BAE"/>
    <w:rsid w:val="00C04D03"/>
    <w:rsid w:val="00C0531F"/>
    <w:rsid w:val="00C05678"/>
    <w:rsid w:val="00C06179"/>
    <w:rsid w:val="00C073EE"/>
    <w:rsid w:val="00C10921"/>
    <w:rsid w:val="00C12440"/>
    <w:rsid w:val="00C127F7"/>
    <w:rsid w:val="00C12D68"/>
    <w:rsid w:val="00C12FAF"/>
    <w:rsid w:val="00C139DB"/>
    <w:rsid w:val="00C141E7"/>
    <w:rsid w:val="00C142C1"/>
    <w:rsid w:val="00C14AC8"/>
    <w:rsid w:val="00C15089"/>
    <w:rsid w:val="00C1575F"/>
    <w:rsid w:val="00C15832"/>
    <w:rsid w:val="00C161D7"/>
    <w:rsid w:val="00C163A7"/>
    <w:rsid w:val="00C16420"/>
    <w:rsid w:val="00C164E0"/>
    <w:rsid w:val="00C1678A"/>
    <w:rsid w:val="00C17E2A"/>
    <w:rsid w:val="00C20078"/>
    <w:rsid w:val="00C213DB"/>
    <w:rsid w:val="00C21415"/>
    <w:rsid w:val="00C217DB"/>
    <w:rsid w:val="00C21E76"/>
    <w:rsid w:val="00C2253A"/>
    <w:rsid w:val="00C23319"/>
    <w:rsid w:val="00C23BD0"/>
    <w:rsid w:val="00C2417D"/>
    <w:rsid w:val="00C241D9"/>
    <w:rsid w:val="00C25A09"/>
    <w:rsid w:val="00C264F9"/>
    <w:rsid w:val="00C26A0B"/>
    <w:rsid w:val="00C26AAE"/>
    <w:rsid w:val="00C26DCA"/>
    <w:rsid w:val="00C27A84"/>
    <w:rsid w:val="00C27EDF"/>
    <w:rsid w:val="00C301DE"/>
    <w:rsid w:val="00C306A5"/>
    <w:rsid w:val="00C30CDB"/>
    <w:rsid w:val="00C31003"/>
    <w:rsid w:val="00C311FF"/>
    <w:rsid w:val="00C31372"/>
    <w:rsid w:val="00C3142E"/>
    <w:rsid w:val="00C317EE"/>
    <w:rsid w:val="00C332A3"/>
    <w:rsid w:val="00C3337D"/>
    <w:rsid w:val="00C33A13"/>
    <w:rsid w:val="00C33FBA"/>
    <w:rsid w:val="00C34470"/>
    <w:rsid w:val="00C346B8"/>
    <w:rsid w:val="00C34950"/>
    <w:rsid w:val="00C34A67"/>
    <w:rsid w:val="00C34B70"/>
    <w:rsid w:val="00C34CBD"/>
    <w:rsid w:val="00C350FE"/>
    <w:rsid w:val="00C35730"/>
    <w:rsid w:val="00C3684A"/>
    <w:rsid w:val="00C37472"/>
    <w:rsid w:val="00C37983"/>
    <w:rsid w:val="00C40ED6"/>
    <w:rsid w:val="00C40FAB"/>
    <w:rsid w:val="00C4105E"/>
    <w:rsid w:val="00C419BC"/>
    <w:rsid w:val="00C41EEC"/>
    <w:rsid w:val="00C42CEA"/>
    <w:rsid w:val="00C435AB"/>
    <w:rsid w:val="00C4415F"/>
    <w:rsid w:val="00C44531"/>
    <w:rsid w:val="00C445CA"/>
    <w:rsid w:val="00C45146"/>
    <w:rsid w:val="00C45D60"/>
    <w:rsid w:val="00C45D8F"/>
    <w:rsid w:val="00C4683F"/>
    <w:rsid w:val="00C47297"/>
    <w:rsid w:val="00C47769"/>
    <w:rsid w:val="00C4778B"/>
    <w:rsid w:val="00C47905"/>
    <w:rsid w:val="00C50C60"/>
    <w:rsid w:val="00C50E6B"/>
    <w:rsid w:val="00C51414"/>
    <w:rsid w:val="00C51F2C"/>
    <w:rsid w:val="00C527E7"/>
    <w:rsid w:val="00C5284F"/>
    <w:rsid w:val="00C53244"/>
    <w:rsid w:val="00C532BE"/>
    <w:rsid w:val="00C534AB"/>
    <w:rsid w:val="00C53697"/>
    <w:rsid w:val="00C54B31"/>
    <w:rsid w:val="00C556F5"/>
    <w:rsid w:val="00C55C2D"/>
    <w:rsid w:val="00C55EB7"/>
    <w:rsid w:val="00C56573"/>
    <w:rsid w:val="00C577CF"/>
    <w:rsid w:val="00C57BA6"/>
    <w:rsid w:val="00C57C86"/>
    <w:rsid w:val="00C57CEC"/>
    <w:rsid w:val="00C6100E"/>
    <w:rsid w:val="00C61749"/>
    <w:rsid w:val="00C61C0E"/>
    <w:rsid w:val="00C61F21"/>
    <w:rsid w:val="00C62303"/>
    <w:rsid w:val="00C626DC"/>
    <w:rsid w:val="00C6338C"/>
    <w:rsid w:val="00C638F9"/>
    <w:rsid w:val="00C63A12"/>
    <w:rsid w:val="00C656B1"/>
    <w:rsid w:val="00C66001"/>
    <w:rsid w:val="00C661C9"/>
    <w:rsid w:val="00C66A9E"/>
    <w:rsid w:val="00C67915"/>
    <w:rsid w:val="00C67EE6"/>
    <w:rsid w:val="00C70149"/>
    <w:rsid w:val="00C70ECA"/>
    <w:rsid w:val="00C71705"/>
    <w:rsid w:val="00C7214D"/>
    <w:rsid w:val="00C72576"/>
    <w:rsid w:val="00C7294A"/>
    <w:rsid w:val="00C72E48"/>
    <w:rsid w:val="00C73141"/>
    <w:rsid w:val="00C73142"/>
    <w:rsid w:val="00C73458"/>
    <w:rsid w:val="00C73629"/>
    <w:rsid w:val="00C73EEE"/>
    <w:rsid w:val="00C74B1A"/>
    <w:rsid w:val="00C74CBF"/>
    <w:rsid w:val="00C755C6"/>
    <w:rsid w:val="00C7583E"/>
    <w:rsid w:val="00C75B5E"/>
    <w:rsid w:val="00C7637A"/>
    <w:rsid w:val="00C77CCC"/>
    <w:rsid w:val="00C77E31"/>
    <w:rsid w:val="00C810E1"/>
    <w:rsid w:val="00C8134B"/>
    <w:rsid w:val="00C81859"/>
    <w:rsid w:val="00C818F1"/>
    <w:rsid w:val="00C825F6"/>
    <w:rsid w:val="00C82C8F"/>
    <w:rsid w:val="00C83CEB"/>
    <w:rsid w:val="00C840D8"/>
    <w:rsid w:val="00C845CB"/>
    <w:rsid w:val="00C84C38"/>
    <w:rsid w:val="00C852E1"/>
    <w:rsid w:val="00C85311"/>
    <w:rsid w:val="00C85631"/>
    <w:rsid w:val="00C85726"/>
    <w:rsid w:val="00C85A77"/>
    <w:rsid w:val="00C85B5B"/>
    <w:rsid w:val="00C863F9"/>
    <w:rsid w:val="00C8674D"/>
    <w:rsid w:val="00C87281"/>
    <w:rsid w:val="00C87355"/>
    <w:rsid w:val="00C900AD"/>
    <w:rsid w:val="00C900EA"/>
    <w:rsid w:val="00C901C2"/>
    <w:rsid w:val="00C918BF"/>
    <w:rsid w:val="00C91CAE"/>
    <w:rsid w:val="00C9211F"/>
    <w:rsid w:val="00C92608"/>
    <w:rsid w:val="00C9321F"/>
    <w:rsid w:val="00C939A3"/>
    <w:rsid w:val="00C93D2B"/>
    <w:rsid w:val="00C941FB"/>
    <w:rsid w:val="00C9440C"/>
    <w:rsid w:val="00C949FC"/>
    <w:rsid w:val="00C95239"/>
    <w:rsid w:val="00C95515"/>
    <w:rsid w:val="00C95A13"/>
    <w:rsid w:val="00C95D67"/>
    <w:rsid w:val="00C95E89"/>
    <w:rsid w:val="00C96183"/>
    <w:rsid w:val="00C96E4C"/>
    <w:rsid w:val="00C974AD"/>
    <w:rsid w:val="00CA0F2C"/>
    <w:rsid w:val="00CA1196"/>
    <w:rsid w:val="00CA1A13"/>
    <w:rsid w:val="00CA1BF6"/>
    <w:rsid w:val="00CA37FF"/>
    <w:rsid w:val="00CA3AA9"/>
    <w:rsid w:val="00CA40D0"/>
    <w:rsid w:val="00CA433C"/>
    <w:rsid w:val="00CA45F0"/>
    <w:rsid w:val="00CA4E05"/>
    <w:rsid w:val="00CA59A8"/>
    <w:rsid w:val="00CA5F06"/>
    <w:rsid w:val="00CA6045"/>
    <w:rsid w:val="00CA6564"/>
    <w:rsid w:val="00CA6A48"/>
    <w:rsid w:val="00CA6AF7"/>
    <w:rsid w:val="00CB15B4"/>
    <w:rsid w:val="00CB2118"/>
    <w:rsid w:val="00CB22D1"/>
    <w:rsid w:val="00CB251E"/>
    <w:rsid w:val="00CB2C1E"/>
    <w:rsid w:val="00CB2FAC"/>
    <w:rsid w:val="00CB3016"/>
    <w:rsid w:val="00CB384B"/>
    <w:rsid w:val="00CB4DA7"/>
    <w:rsid w:val="00CB57F4"/>
    <w:rsid w:val="00CB5C87"/>
    <w:rsid w:val="00CB5F09"/>
    <w:rsid w:val="00CB624D"/>
    <w:rsid w:val="00CB645B"/>
    <w:rsid w:val="00CB6965"/>
    <w:rsid w:val="00CB6F5A"/>
    <w:rsid w:val="00CB6FC1"/>
    <w:rsid w:val="00CB79D0"/>
    <w:rsid w:val="00CB7C9F"/>
    <w:rsid w:val="00CB7D68"/>
    <w:rsid w:val="00CB7E7C"/>
    <w:rsid w:val="00CC05DA"/>
    <w:rsid w:val="00CC060B"/>
    <w:rsid w:val="00CC0A7C"/>
    <w:rsid w:val="00CC0C84"/>
    <w:rsid w:val="00CC0EE8"/>
    <w:rsid w:val="00CC1583"/>
    <w:rsid w:val="00CC17A9"/>
    <w:rsid w:val="00CC20C1"/>
    <w:rsid w:val="00CC2510"/>
    <w:rsid w:val="00CC2538"/>
    <w:rsid w:val="00CC3013"/>
    <w:rsid w:val="00CC33E8"/>
    <w:rsid w:val="00CC355D"/>
    <w:rsid w:val="00CC3986"/>
    <w:rsid w:val="00CC43D5"/>
    <w:rsid w:val="00CC4894"/>
    <w:rsid w:val="00CC5661"/>
    <w:rsid w:val="00CC5665"/>
    <w:rsid w:val="00CC5D51"/>
    <w:rsid w:val="00CC5DB2"/>
    <w:rsid w:val="00CC60FE"/>
    <w:rsid w:val="00CC6468"/>
    <w:rsid w:val="00CC665B"/>
    <w:rsid w:val="00CC719B"/>
    <w:rsid w:val="00CC71B3"/>
    <w:rsid w:val="00CC74B2"/>
    <w:rsid w:val="00CC76CD"/>
    <w:rsid w:val="00CC778F"/>
    <w:rsid w:val="00CC7A6F"/>
    <w:rsid w:val="00CC7F34"/>
    <w:rsid w:val="00CD00B0"/>
    <w:rsid w:val="00CD08CE"/>
    <w:rsid w:val="00CD0B2D"/>
    <w:rsid w:val="00CD0CD9"/>
    <w:rsid w:val="00CD0D81"/>
    <w:rsid w:val="00CD178A"/>
    <w:rsid w:val="00CD207A"/>
    <w:rsid w:val="00CD4006"/>
    <w:rsid w:val="00CD43F8"/>
    <w:rsid w:val="00CD483C"/>
    <w:rsid w:val="00CD52F8"/>
    <w:rsid w:val="00CD5475"/>
    <w:rsid w:val="00CD547A"/>
    <w:rsid w:val="00CD5B23"/>
    <w:rsid w:val="00CD5BE1"/>
    <w:rsid w:val="00CD5D04"/>
    <w:rsid w:val="00CD6510"/>
    <w:rsid w:val="00CD660F"/>
    <w:rsid w:val="00CD7420"/>
    <w:rsid w:val="00CD7AE0"/>
    <w:rsid w:val="00CE0512"/>
    <w:rsid w:val="00CE0D38"/>
    <w:rsid w:val="00CE0DDB"/>
    <w:rsid w:val="00CE14C8"/>
    <w:rsid w:val="00CE1D27"/>
    <w:rsid w:val="00CE2A99"/>
    <w:rsid w:val="00CE338D"/>
    <w:rsid w:val="00CE3400"/>
    <w:rsid w:val="00CE3BB5"/>
    <w:rsid w:val="00CE3E58"/>
    <w:rsid w:val="00CE4025"/>
    <w:rsid w:val="00CE46F4"/>
    <w:rsid w:val="00CE4A04"/>
    <w:rsid w:val="00CE4ADF"/>
    <w:rsid w:val="00CE4CBA"/>
    <w:rsid w:val="00CE646A"/>
    <w:rsid w:val="00CE68D8"/>
    <w:rsid w:val="00CE721A"/>
    <w:rsid w:val="00CE748C"/>
    <w:rsid w:val="00CE7D22"/>
    <w:rsid w:val="00CF0117"/>
    <w:rsid w:val="00CF16E9"/>
    <w:rsid w:val="00CF1878"/>
    <w:rsid w:val="00CF1919"/>
    <w:rsid w:val="00CF2687"/>
    <w:rsid w:val="00CF27B8"/>
    <w:rsid w:val="00CF3761"/>
    <w:rsid w:val="00CF3BE2"/>
    <w:rsid w:val="00CF3DDF"/>
    <w:rsid w:val="00CF61E1"/>
    <w:rsid w:val="00CF6263"/>
    <w:rsid w:val="00CF6A65"/>
    <w:rsid w:val="00CF6EF6"/>
    <w:rsid w:val="00CF775F"/>
    <w:rsid w:val="00CF798A"/>
    <w:rsid w:val="00CF7CC6"/>
    <w:rsid w:val="00CF7DB0"/>
    <w:rsid w:val="00D0022A"/>
    <w:rsid w:val="00D00F2A"/>
    <w:rsid w:val="00D01471"/>
    <w:rsid w:val="00D0176F"/>
    <w:rsid w:val="00D024C9"/>
    <w:rsid w:val="00D0267E"/>
    <w:rsid w:val="00D02708"/>
    <w:rsid w:val="00D02715"/>
    <w:rsid w:val="00D03219"/>
    <w:rsid w:val="00D03360"/>
    <w:rsid w:val="00D03A3C"/>
    <w:rsid w:val="00D0438C"/>
    <w:rsid w:val="00D043A5"/>
    <w:rsid w:val="00D0472B"/>
    <w:rsid w:val="00D05897"/>
    <w:rsid w:val="00D05E52"/>
    <w:rsid w:val="00D0641B"/>
    <w:rsid w:val="00D06664"/>
    <w:rsid w:val="00D07037"/>
    <w:rsid w:val="00D100D2"/>
    <w:rsid w:val="00D10198"/>
    <w:rsid w:val="00D1097B"/>
    <w:rsid w:val="00D10BAD"/>
    <w:rsid w:val="00D10CC4"/>
    <w:rsid w:val="00D11D3A"/>
    <w:rsid w:val="00D11DCB"/>
    <w:rsid w:val="00D1291F"/>
    <w:rsid w:val="00D129E7"/>
    <w:rsid w:val="00D131DA"/>
    <w:rsid w:val="00D1339C"/>
    <w:rsid w:val="00D140D0"/>
    <w:rsid w:val="00D142F0"/>
    <w:rsid w:val="00D14E2B"/>
    <w:rsid w:val="00D1600C"/>
    <w:rsid w:val="00D1763E"/>
    <w:rsid w:val="00D20D77"/>
    <w:rsid w:val="00D217D3"/>
    <w:rsid w:val="00D2189B"/>
    <w:rsid w:val="00D21B7C"/>
    <w:rsid w:val="00D21C85"/>
    <w:rsid w:val="00D21D23"/>
    <w:rsid w:val="00D2277D"/>
    <w:rsid w:val="00D22829"/>
    <w:rsid w:val="00D22D8A"/>
    <w:rsid w:val="00D23641"/>
    <w:rsid w:val="00D23E7E"/>
    <w:rsid w:val="00D248FF"/>
    <w:rsid w:val="00D24FAA"/>
    <w:rsid w:val="00D256CB"/>
    <w:rsid w:val="00D26050"/>
    <w:rsid w:val="00D269E9"/>
    <w:rsid w:val="00D27F4D"/>
    <w:rsid w:val="00D305C3"/>
    <w:rsid w:val="00D30812"/>
    <w:rsid w:val="00D30D67"/>
    <w:rsid w:val="00D316DF"/>
    <w:rsid w:val="00D31876"/>
    <w:rsid w:val="00D31D09"/>
    <w:rsid w:val="00D331B4"/>
    <w:rsid w:val="00D332AF"/>
    <w:rsid w:val="00D3364C"/>
    <w:rsid w:val="00D33C28"/>
    <w:rsid w:val="00D349DE"/>
    <w:rsid w:val="00D34AC6"/>
    <w:rsid w:val="00D34B94"/>
    <w:rsid w:val="00D34DA9"/>
    <w:rsid w:val="00D35C34"/>
    <w:rsid w:val="00D36CC8"/>
    <w:rsid w:val="00D36E1E"/>
    <w:rsid w:val="00D36E5E"/>
    <w:rsid w:val="00D3775A"/>
    <w:rsid w:val="00D37CEC"/>
    <w:rsid w:val="00D40661"/>
    <w:rsid w:val="00D40CDE"/>
    <w:rsid w:val="00D40CEB"/>
    <w:rsid w:val="00D41381"/>
    <w:rsid w:val="00D4295E"/>
    <w:rsid w:val="00D457AC"/>
    <w:rsid w:val="00D45B23"/>
    <w:rsid w:val="00D45EC2"/>
    <w:rsid w:val="00D45F9D"/>
    <w:rsid w:val="00D46791"/>
    <w:rsid w:val="00D46BC1"/>
    <w:rsid w:val="00D47701"/>
    <w:rsid w:val="00D477E1"/>
    <w:rsid w:val="00D5017C"/>
    <w:rsid w:val="00D50384"/>
    <w:rsid w:val="00D50565"/>
    <w:rsid w:val="00D509BD"/>
    <w:rsid w:val="00D51064"/>
    <w:rsid w:val="00D513B8"/>
    <w:rsid w:val="00D51B70"/>
    <w:rsid w:val="00D51DF7"/>
    <w:rsid w:val="00D52457"/>
    <w:rsid w:val="00D525D8"/>
    <w:rsid w:val="00D52E5B"/>
    <w:rsid w:val="00D53B94"/>
    <w:rsid w:val="00D53E60"/>
    <w:rsid w:val="00D54711"/>
    <w:rsid w:val="00D54FC1"/>
    <w:rsid w:val="00D5548C"/>
    <w:rsid w:val="00D5591C"/>
    <w:rsid w:val="00D56664"/>
    <w:rsid w:val="00D600CE"/>
    <w:rsid w:val="00D60755"/>
    <w:rsid w:val="00D608D3"/>
    <w:rsid w:val="00D60B3B"/>
    <w:rsid w:val="00D62B29"/>
    <w:rsid w:val="00D62FC8"/>
    <w:rsid w:val="00D63649"/>
    <w:rsid w:val="00D63F47"/>
    <w:rsid w:val="00D6464B"/>
    <w:rsid w:val="00D64D1D"/>
    <w:rsid w:val="00D64E1E"/>
    <w:rsid w:val="00D659E8"/>
    <w:rsid w:val="00D65E0B"/>
    <w:rsid w:val="00D66080"/>
    <w:rsid w:val="00D6628E"/>
    <w:rsid w:val="00D66775"/>
    <w:rsid w:val="00D66A7A"/>
    <w:rsid w:val="00D6799E"/>
    <w:rsid w:val="00D679AA"/>
    <w:rsid w:val="00D67D26"/>
    <w:rsid w:val="00D7086D"/>
    <w:rsid w:val="00D70D67"/>
    <w:rsid w:val="00D70DAE"/>
    <w:rsid w:val="00D71B99"/>
    <w:rsid w:val="00D71D8F"/>
    <w:rsid w:val="00D73C3C"/>
    <w:rsid w:val="00D7404A"/>
    <w:rsid w:val="00D7407C"/>
    <w:rsid w:val="00D745A5"/>
    <w:rsid w:val="00D74BCB"/>
    <w:rsid w:val="00D751DA"/>
    <w:rsid w:val="00D7529D"/>
    <w:rsid w:val="00D753F3"/>
    <w:rsid w:val="00D76092"/>
    <w:rsid w:val="00D76F90"/>
    <w:rsid w:val="00D7705A"/>
    <w:rsid w:val="00D772A5"/>
    <w:rsid w:val="00D775B4"/>
    <w:rsid w:val="00D80131"/>
    <w:rsid w:val="00D801B0"/>
    <w:rsid w:val="00D8134C"/>
    <w:rsid w:val="00D81390"/>
    <w:rsid w:val="00D8361C"/>
    <w:rsid w:val="00D83644"/>
    <w:rsid w:val="00D83732"/>
    <w:rsid w:val="00D8421A"/>
    <w:rsid w:val="00D849E4"/>
    <w:rsid w:val="00D85FB7"/>
    <w:rsid w:val="00D864E9"/>
    <w:rsid w:val="00D867A5"/>
    <w:rsid w:val="00D867E8"/>
    <w:rsid w:val="00D86EFD"/>
    <w:rsid w:val="00D87623"/>
    <w:rsid w:val="00D90D77"/>
    <w:rsid w:val="00D91D06"/>
    <w:rsid w:val="00D92D7A"/>
    <w:rsid w:val="00D93173"/>
    <w:rsid w:val="00D93376"/>
    <w:rsid w:val="00D9373E"/>
    <w:rsid w:val="00D9438C"/>
    <w:rsid w:val="00D9485E"/>
    <w:rsid w:val="00D94B86"/>
    <w:rsid w:val="00D96394"/>
    <w:rsid w:val="00D96B40"/>
    <w:rsid w:val="00D96E0C"/>
    <w:rsid w:val="00DA0C1F"/>
    <w:rsid w:val="00DA1C7C"/>
    <w:rsid w:val="00DA1CA1"/>
    <w:rsid w:val="00DA1CCB"/>
    <w:rsid w:val="00DA1D08"/>
    <w:rsid w:val="00DA21C8"/>
    <w:rsid w:val="00DA2BD9"/>
    <w:rsid w:val="00DA34C4"/>
    <w:rsid w:val="00DA3CEF"/>
    <w:rsid w:val="00DA45D9"/>
    <w:rsid w:val="00DA45DF"/>
    <w:rsid w:val="00DA461C"/>
    <w:rsid w:val="00DA5454"/>
    <w:rsid w:val="00DA5A56"/>
    <w:rsid w:val="00DA5DD4"/>
    <w:rsid w:val="00DA7FC0"/>
    <w:rsid w:val="00DB05FA"/>
    <w:rsid w:val="00DB1C5C"/>
    <w:rsid w:val="00DB372D"/>
    <w:rsid w:val="00DB3D0B"/>
    <w:rsid w:val="00DB49C3"/>
    <w:rsid w:val="00DB57B6"/>
    <w:rsid w:val="00DB5D3F"/>
    <w:rsid w:val="00DB62B9"/>
    <w:rsid w:val="00DC0012"/>
    <w:rsid w:val="00DC0444"/>
    <w:rsid w:val="00DC1005"/>
    <w:rsid w:val="00DC172A"/>
    <w:rsid w:val="00DC2274"/>
    <w:rsid w:val="00DC25FE"/>
    <w:rsid w:val="00DC27D8"/>
    <w:rsid w:val="00DC33F7"/>
    <w:rsid w:val="00DC3607"/>
    <w:rsid w:val="00DC36C4"/>
    <w:rsid w:val="00DC40A1"/>
    <w:rsid w:val="00DC4392"/>
    <w:rsid w:val="00DC45D9"/>
    <w:rsid w:val="00DC4FC1"/>
    <w:rsid w:val="00DC50CD"/>
    <w:rsid w:val="00DC60D9"/>
    <w:rsid w:val="00DC68D1"/>
    <w:rsid w:val="00DC6BEE"/>
    <w:rsid w:val="00DC71D7"/>
    <w:rsid w:val="00DC73EB"/>
    <w:rsid w:val="00DC7BB6"/>
    <w:rsid w:val="00DD0387"/>
    <w:rsid w:val="00DD091D"/>
    <w:rsid w:val="00DD0D1C"/>
    <w:rsid w:val="00DD194C"/>
    <w:rsid w:val="00DD1ABE"/>
    <w:rsid w:val="00DD1D2A"/>
    <w:rsid w:val="00DD1F65"/>
    <w:rsid w:val="00DD24F5"/>
    <w:rsid w:val="00DD2B17"/>
    <w:rsid w:val="00DD2F56"/>
    <w:rsid w:val="00DD34A7"/>
    <w:rsid w:val="00DD3539"/>
    <w:rsid w:val="00DD35C7"/>
    <w:rsid w:val="00DD3F9B"/>
    <w:rsid w:val="00DD4858"/>
    <w:rsid w:val="00DD4BFD"/>
    <w:rsid w:val="00DD5E32"/>
    <w:rsid w:val="00DD6346"/>
    <w:rsid w:val="00DD7580"/>
    <w:rsid w:val="00DD7A75"/>
    <w:rsid w:val="00DD7D01"/>
    <w:rsid w:val="00DE0992"/>
    <w:rsid w:val="00DE1C12"/>
    <w:rsid w:val="00DE2288"/>
    <w:rsid w:val="00DE38AC"/>
    <w:rsid w:val="00DE4AD6"/>
    <w:rsid w:val="00DE5DED"/>
    <w:rsid w:val="00DE5E81"/>
    <w:rsid w:val="00DE6094"/>
    <w:rsid w:val="00DE6226"/>
    <w:rsid w:val="00DE6B5C"/>
    <w:rsid w:val="00DE75FB"/>
    <w:rsid w:val="00DE794A"/>
    <w:rsid w:val="00DE7A0A"/>
    <w:rsid w:val="00DF07D9"/>
    <w:rsid w:val="00DF08C5"/>
    <w:rsid w:val="00DF1599"/>
    <w:rsid w:val="00DF2ADE"/>
    <w:rsid w:val="00DF2C7D"/>
    <w:rsid w:val="00DF3B53"/>
    <w:rsid w:val="00DF3E69"/>
    <w:rsid w:val="00DF437A"/>
    <w:rsid w:val="00DF50F7"/>
    <w:rsid w:val="00DF5847"/>
    <w:rsid w:val="00DF5B30"/>
    <w:rsid w:val="00DF6203"/>
    <w:rsid w:val="00DF6A10"/>
    <w:rsid w:val="00DF735E"/>
    <w:rsid w:val="00DF7D69"/>
    <w:rsid w:val="00E017EA"/>
    <w:rsid w:val="00E01991"/>
    <w:rsid w:val="00E01BF1"/>
    <w:rsid w:val="00E02DAD"/>
    <w:rsid w:val="00E03591"/>
    <w:rsid w:val="00E03C78"/>
    <w:rsid w:val="00E04840"/>
    <w:rsid w:val="00E05339"/>
    <w:rsid w:val="00E053B7"/>
    <w:rsid w:val="00E0602A"/>
    <w:rsid w:val="00E061E4"/>
    <w:rsid w:val="00E0686D"/>
    <w:rsid w:val="00E06963"/>
    <w:rsid w:val="00E1115D"/>
    <w:rsid w:val="00E1169F"/>
    <w:rsid w:val="00E11CBD"/>
    <w:rsid w:val="00E14B0A"/>
    <w:rsid w:val="00E14E19"/>
    <w:rsid w:val="00E150AA"/>
    <w:rsid w:val="00E155B3"/>
    <w:rsid w:val="00E15B9F"/>
    <w:rsid w:val="00E16365"/>
    <w:rsid w:val="00E16B8C"/>
    <w:rsid w:val="00E16BAF"/>
    <w:rsid w:val="00E20047"/>
    <w:rsid w:val="00E203D3"/>
    <w:rsid w:val="00E2040B"/>
    <w:rsid w:val="00E20CFA"/>
    <w:rsid w:val="00E21994"/>
    <w:rsid w:val="00E21F6D"/>
    <w:rsid w:val="00E22286"/>
    <w:rsid w:val="00E230E8"/>
    <w:rsid w:val="00E25009"/>
    <w:rsid w:val="00E25882"/>
    <w:rsid w:val="00E2632B"/>
    <w:rsid w:val="00E26B18"/>
    <w:rsid w:val="00E27DB0"/>
    <w:rsid w:val="00E300B3"/>
    <w:rsid w:val="00E30837"/>
    <w:rsid w:val="00E31AD5"/>
    <w:rsid w:val="00E331E4"/>
    <w:rsid w:val="00E333E5"/>
    <w:rsid w:val="00E33559"/>
    <w:rsid w:val="00E34881"/>
    <w:rsid w:val="00E3575C"/>
    <w:rsid w:val="00E35770"/>
    <w:rsid w:val="00E35B69"/>
    <w:rsid w:val="00E36002"/>
    <w:rsid w:val="00E361AA"/>
    <w:rsid w:val="00E37552"/>
    <w:rsid w:val="00E37F82"/>
    <w:rsid w:val="00E37FB6"/>
    <w:rsid w:val="00E40B1E"/>
    <w:rsid w:val="00E40DB7"/>
    <w:rsid w:val="00E411A3"/>
    <w:rsid w:val="00E4193A"/>
    <w:rsid w:val="00E41F2E"/>
    <w:rsid w:val="00E433CA"/>
    <w:rsid w:val="00E4387D"/>
    <w:rsid w:val="00E4411A"/>
    <w:rsid w:val="00E45486"/>
    <w:rsid w:val="00E45C0F"/>
    <w:rsid w:val="00E46591"/>
    <w:rsid w:val="00E466FD"/>
    <w:rsid w:val="00E46E0A"/>
    <w:rsid w:val="00E46F57"/>
    <w:rsid w:val="00E4719D"/>
    <w:rsid w:val="00E471CF"/>
    <w:rsid w:val="00E472BA"/>
    <w:rsid w:val="00E473ED"/>
    <w:rsid w:val="00E4740D"/>
    <w:rsid w:val="00E5003A"/>
    <w:rsid w:val="00E502DA"/>
    <w:rsid w:val="00E50C46"/>
    <w:rsid w:val="00E50D59"/>
    <w:rsid w:val="00E514C3"/>
    <w:rsid w:val="00E51670"/>
    <w:rsid w:val="00E51681"/>
    <w:rsid w:val="00E519BB"/>
    <w:rsid w:val="00E51F89"/>
    <w:rsid w:val="00E5291F"/>
    <w:rsid w:val="00E52B60"/>
    <w:rsid w:val="00E52E51"/>
    <w:rsid w:val="00E53549"/>
    <w:rsid w:val="00E53612"/>
    <w:rsid w:val="00E536FB"/>
    <w:rsid w:val="00E53DB1"/>
    <w:rsid w:val="00E54538"/>
    <w:rsid w:val="00E54844"/>
    <w:rsid w:val="00E54D33"/>
    <w:rsid w:val="00E54D9C"/>
    <w:rsid w:val="00E54E0B"/>
    <w:rsid w:val="00E551AE"/>
    <w:rsid w:val="00E556DA"/>
    <w:rsid w:val="00E561F7"/>
    <w:rsid w:val="00E5738D"/>
    <w:rsid w:val="00E576BD"/>
    <w:rsid w:val="00E57A9A"/>
    <w:rsid w:val="00E57CBF"/>
    <w:rsid w:val="00E60628"/>
    <w:rsid w:val="00E60CC5"/>
    <w:rsid w:val="00E61BF7"/>
    <w:rsid w:val="00E620D6"/>
    <w:rsid w:val="00E623B8"/>
    <w:rsid w:val="00E627A3"/>
    <w:rsid w:val="00E633C0"/>
    <w:rsid w:val="00E63568"/>
    <w:rsid w:val="00E647BC"/>
    <w:rsid w:val="00E64943"/>
    <w:rsid w:val="00E64A01"/>
    <w:rsid w:val="00E65AF8"/>
    <w:rsid w:val="00E65D71"/>
    <w:rsid w:val="00E65F9F"/>
    <w:rsid w:val="00E663BD"/>
    <w:rsid w:val="00E668F0"/>
    <w:rsid w:val="00E66AA0"/>
    <w:rsid w:val="00E66D44"/>
    <w:rsid w:val="00E66F52"/>
    <w:rsid w:val="00E701A4"/>
    <w:rsid w:val="00E70D02"/>
    <w:rsid w:val="00E70DAE"/>
    <w:rsid w:val="00E71984"/>
    <w:rsid w:val="00E721A5"/>
    <w:rsid w:val="00E72576"/>
    <w:rsid w:val="00E73680"/>
    <w:rsid w:val="00E736F6"/>
    <w:rsid w:val="00E73E6B"/>
    <w:rsid w:val="00E73F57"/>
    <w:rsid w:val="00E74A92"/>
    <w:rsid w:val="00E75481"/>
    <w:rsid w:val="00E7583B"/>
    <w:rsid w:val="00E758D6"/>
    <w:rsid w:val="00E76866"/>
    <w:rsid w:val="00E76D95"/>
    <w:rsid w:val="00E775B2"/>
    <w:rsid w:val="00E77E0C"/>
    <w:rsid w:val="00E80F42"/>
    <w:rsid w:val="00E8173B"/>
    <w:rsid w:val="00E820AD"/>
    <w:rsid w:val="00E82DE0"/>
    <w:rsid w:val="00E83D93"/>
    <w:rsid w:val="00E840C9"/>
    <w:rsid w:val="00E84F0B"/>
    <w:rsid w:val="00E84FC7"/>
    <w:rsid w:val="00E85510"/>
    <w:rsid w:val="00E8557F"/>
    <w:rsid w:val="00E85BAD"/>
    <w:rsid w:val="00E861C6"/>
    <w:rsid w:val="00E86661"/>
    <w:rsid w:val="00E87290"/>
    <w:rsid w:val="00E873CD"/>
    <w:rsid w:val="00E90398"/>
    <w:rsid w:val="00E907D7"/>
    <w:rsid w:val="00E90D45"/>
    <w:rsid w:val="00E91A41"/>
    <w:rsid w:val="00E92B80"/>
    <w:rsid w:val="00E9350E"/>
    <w:rsid w:val="00E93AFA"/>
    <w:rsid w:val="00E93B42"/>
    <w:rsid w:val="00E94C5F"/>
    <w:rsid w:val="00E95221"/>
    <w:rsid w:val="00E95930"/>
    <w:rsid w:val="00E9596E"/>
    <w:rsid w:val="00E95ADD"/>
    <w:rsid w:val="00E95AE8"/>
    <w:rsid w:val="00E95CEE"/>
    <w:rsid w:val="00E9633C"/>
    <w:rsid w:val="00E9692D"/>
    <w:rsid w:val="00E969BA"/>
    <w:rsid w:val="00E969BD"/>
    <w:rsid w:val="00E975EA"/>
    <w:rsid w:val="00E97CE6"/>
    <w:rsid w:val="00E97F54"/>
    <w:rsid w:val="00E97F65"/>
    <w:rsid w:val="00EA0059"/>
    <w:rsid w:val="00EA0592"/>
    <w:rsid w:val="00EA082C"/>
    <w:rsid w:val="00EA19C7"/>
    <w:rsid w:val="00EA1F5D"/>
    <w:rsid w:val="00EA236B"/>
    <w:rsid w:val="00EA2473"/>
    <w:rsid w:val="00EA2649"/>
    <w:rsid w:val="00EA29B1"/>
    <w:rsid w:val="00EA2EFD"/>
    <w:rsid w:val="00EA330D"/>
    <w:rsid w:val="00EA3990"/>
    <w:rsid w:val="00EA4523"/>
    <w:rsid w:val="00EA5134"/>
    <w:rsid w:val="00EA5363"/>
    <w:rsid w:val="00EA5559"/>
    <w:rsid w:val="00EA5DE8"/>
    <w:rsid w:val="00EA6478"/>
    <w:rsid w:val="00EA701E"/>
    <w:rsid w:val="00EA7ACC"/>
    <w:rsid w:val="00EA7E25"/>
    <w:rsid w:val="00EB12DB"/>
    <w:rsid w:val="00EB1CA0"/>
    <w:rsid w:val="00EB1F4C"/>
    <w:rsid w:val="00EB2267"/>
    <w:rsid w:val="00EB2484"/>
    <w:rsid w:val="00EB26F0"/>
    <w:rsid w:val="00EB418A"/>
    <w:rsid w:val="00EB41A7"/>
    <w:rsid w:val="00EB456E"/>
    <w:rsid w:val="00EB46EE"/>
    <w:rsid w:val="00EB4838"/>
    <w:rsid w:val="00EB4A63"/>
    <w:rsid w:val="00EB575D"/>
    <w:rsid w:val="00EB5F5C"/>
    <w:rsid w:val="00EB6034"/>
    <w:rsid w:val="00EB61ED"/>
    <w:rsid w:val="00EB6EFB"/>
    <w:rsid w:val="00EB7469"/>
    <w:rsid w:val="00EB75B0"/>
    <w:rsid w:val="00EB79DA"/>
    <w:rsid w:val="00EC054C"/>
    <w:rsid w:val="00EC07C0"/>
    <w:rsid w:val="00EC14E3"/>
    <w:rsid w:val="00EC188E"/>
    <w:rsid w:val="00EC1E8A"/>
    <w:rsid w:val="00EC250F"/>
    <w:rsid w:val="00EC2656"/>
    <w:rsid w:val="00EC2A9F"/>
    <w:rsid w:val="00EC2FFF"/>
    <w:rsid w:val="00EC381E"/>
    <w:rsid w:val="00EC389F"/>
    <w:rsid w:val="00EC3FC4"/>
    <w:rsid w:val="00EC42F6"/>
    <w:rsid w:val="00EC4CC9"/>
    <w:rsid w:val="00EC6982"/>
    <w:rsid w:val="00EC6D2D"/>
    <w:rsid w:val="00EC724B"/>
    <w:rsid w:val="00EC74FD"/>
    <w:rsid w:val="00EC77F3"/>
    <w:rsid w:val="00ED01C5"/>
    <w:rsid w:val="00ED05A3"/>
    <w:rsid w:val="00ED1BAD"/>
    <w:rsid w:val="00ED2C5F"/>
    <w:rsid w:val="00ED35BC"/>
    <w:rsid w:val="00ED492B"/>
    <w:rsid w:val="00ED4A06"/>
    <w:rsid w:val="00ED5799"/>
    <w:rsid w:val="00ED6B48"/>
    <w:rsid w:val="00ED6C89"/>
    <w:rsid w:val="00ED718B"/>
    <w:rsid w:val="00ED76F5"/>
    <w:rsid w:val="00ED7782"/>
    <w:rsid w:val="00ED7BEB"/>
    <w:rsid w:val="00ED7FFB"/>
    <w:rsid w:val="00EE0BF8"/>
    <w:rsid w:val="00EE0C77"/>
    <w:rsid w:val="00EE1A05"/>
    <w:rsid w:val="00EE2635"/>
    <w:rsid w:val="00EE27EF"/>
    <w:rsid w:val="00EE28AC"/>
    <w:rsid w:val="00EE2A4E"/>
    <w:rsid w:val="00EE374F"/>
    <w:rsid w:val="00EE3DB8"/>
    <w:rsid w:val="00EE48B5"/>
    <w:rsid w:val="00EE49F6"/>
    <w:rsid w:val="00EE5104"/>
    <w:rsid w:val="00EE5172"/>
    <w:rsid w:val="00EE528B"/>
    <w:rsid w:val="00EE5AAA"/>
    <w:rsid w:val="00EE5DA7"/>
    <w:rsid w:val="00EE65BC"/>
    <w:rsid w:val="00EE73DB"/>
    <w:rsid w:val="00EE7F8E"/>
    <w:rsid w:val="00EF0328"/>
    <w:rsid w:val="00EF04EB"/>
    <w:rsid w:val="00EF05A4"/>
    <w:rsid w:val="00EF1221"/>
    <w:rsid w:val="00EF123C"/>
    <w:rsid w:val="00EF13D4"/>
    <w:rsid w:val="00EF18C7"/>
    <w:rsid w:val="00EF1907"/>
    <w:rsid w:val="00EF1B61"/>
    <w:rsid w:val="00EF1F88"/>
    <w:rsid w:val="00EF24BC"/>
    <w:rsid w:val="00EF2881"/>
    <w:rsid w:val="00EF2C4A"/>
    <w:rsid w:val="00EF2EF8"/>
    <w:rsid w:val="00EF2FAF"/>
    <w:rsid w:val="00EF34EB"/>
    <w:rsid w:val="00EF3E22"/>
    <w:rsid w:val="00EF4470"/>
    <w:rsid w:val="00EF4F57"/>
    <w:rsid w:val="00EF7141"/>
    <w:rsid w:val="00EF72CD"/>
    <w:rsid w:val="00EF75EE"/>
    <w:rsid w:val="00F01107"/>
    <w:rsid w:val="00F020D4"/>
    <w:rsid w:val="00F02202"/>
    <w:rsid w:val="00F02897"/>
    <w:rsid w:val="00F02924"/>
    <w:rsid w:val="00F02A2A"/>
    <w:rsid w:val="00F02CB2"/>
    <w:rsid w:val="00F02CFE"/>
    <w:rsid w:val="00F0338D"/>
    <w:rsid w:val="00F038CF"/>
    <w:rsid w:val="00F04978"/>
    <w:rsid w:val="00F0507A"/>
    <w:rsid w:val="00F06373"/>
    <w:rsid w:val="00F06689"/>
    <w:rsid w:val="00F06749"/>
    <w:rsid w:val="00F06886"/>
    <w:rsid w:val="00F06BB0"/>
    <w:rsid w:val="00F06E35"/>
    <w:rsid w:val="00F072B7"/>
    <w:rsid w:val="00F07F4F"/>
    <w:rsid w:val="00F07F75"/>
    <w:rsid w:val="00F100B4"/>
    <w:rsid w:val="00F1048E"/>
    <w:rsid w:val="00F1081B"/>
    <w:rsid w:val="00F111FF"/>
    <w:rsid w:val="00F118D1"/>
    <w:rsid w:val="00F11B89"/>
    <w:rsid w:val="00F129DD"/>
    <w:rsid w:val="00F12D03"/>
    <w:rsid w:val="00F12D78"/>
    <w:rsid w:val="00F13373"/>
    <w:rsid w:val="00F139D6"/>
    <w:rsid w:val="00F13B31"/>
    <w:rsid w:val="00F144CD"/>
    <w:rsid w:val="00F14B93"/>
    <w:rsid w:val="00F15284"/>
    <w:rsid w:val="00F155C2"/>
    <w:rsid w:val="00F15F3D"/>
    <w:rsid w:val="00F1658A"/>
    <w:rsid w:val="00F1737C"/>
    <w:rsid w:val="00F20965"/>
    <w:rsid w:val="00F20D84"/>
    <w:rsid w:val="00F21217"/>
    <w:rsid w:val="00F217BD"/>
    <w:rsid w:val="00F22557"/>
    <w:rsid w:val="00F22BEF"/>
    <w:rsid w:val="00F23024"/>
    <w:rsid w:val="00F238A6"/>
    <w:rsid w:val="00F25740"/>
    <w:rsid w:val="00F25AE9"/>
    <w:rsid w:val="00F25FB9"/>
    <w:rsid w:val="00F26183"/>
    <w:rsid w:val="00F266C0"/>
    <w:rsid w:val="00F27045"/>
    <w:rsid w:val="00F27112"/>
    <w:rsid w:val="00F27861"/>
    <w:rsid w:val="00F27DE6"/>
    <w:rsid w:val="00F30886"/>
    <w:rsid w:val="00F308F7"/>
    <w:rsid w:val="00F310CC"/>
    <w:rsid w:val="00F31569"/>
    <w:rsid w:val="00F32164"/>
    <w:rsid w:val="00F322A1"/>
    <w:rsid w:val="00F32322"/>
    <w:rsid w:val="00F323E4"/>
    <w:rsid w:val="00F32D58"/>
    <w:rsid w:val="00F33715"/>
    <w:rsid w:val="00F3417C"/>
    <w:rsid w:val="00F347EC"/>
    <w:rsid w:val="00F34881"/>
    <w:rsid w:val="00F362AA"/>
    <w:rsid w:val="00F36352"/>
    <w:rsid w:val="00F367AA"/>
    <w:rsid w:val="00F37306"/>
    <w:rsid w:val="00F37442"/>
    <w:rsid w:val="00F37B64"/>
    <w:rsid w:val="00F37E63"/>
    <w:rsid w:val="00F40257"/>
    <w:rsid w:val="00F40382"/>
    <w:rsid w:val="00F4065C"/>
    <w:rsid w:val="00F41123"/>
    <w:rsid w:val="00F41856"/>
    <w:rsid w:val="00F418A4"/>
    <w:rsid w:val="00F41FAC"/>
    <w:rsid w:val="00F42998"/>
    <w:rsid w:val="00F42F02"/>
    <w:rsid w:val="00F439B3"/>
    <w:rsid w:val="00F439FF"/>
    <w:rsid w:val="00F43A0C"/>
    <w:rsid w:val="00F43A28"/>
    <w:rsid w:val="00F4406E"/>
    <w:rsid w:val="00F444CA"/>
    <w:rsid w:val="00F447E5"/>
    <w:rsid w:val="00F44B7F"/>
    <w:rsid w:val="00F44F10"/>
    <w:rsid w:val="00F45225"/>
    <w:rsid w:val="00F45297"/>
    <w:rsid w:val="00F452F2"/>
    <w:rsid w:val="00F453E1"/>
    <w:rsid w:val="00F45933"/>
    <w:rsid w:val="00F46171"/>
    <w:rsid w:val="00F465BF"/>
    <w:rsid w:val="00F46E9B"/>
    <w:rsid w:val="00F47292"/>
    <w:rsid w:val="00F50AC9"/>
    <w:rsid w:val="00F50B4D"/>
    <w:rsid w:val="00F50C6A"/>
    <w:rsid w:val="00F52F5A"/>
    <w:rsid w:val="00F54A3F"/>
    <w:rsid w:val="00F5511D"/>
    <w:rsid w:val="00F55216"/>
    <w:rsid w:val="00F55566"/>
    <w:rsid w:val="00F55D0E"/>
    <w:rsid w:val="00F56084"/>
    <w:rsid w:val="00F576C6"/>
    <w:rsid w:val="00F57726"/>
    <w:rsid w:val="00F577F3"/>
    <w:rsid w:val="00F57945"/>
    <w:rsid w:val="00F60016"/>
    <w:rsid w:val="00F60476"/>
    <w:rsid w:val="00F606B0"/>
    <w:rsid w:val="00F611AC"/>
    <w:rsid w:val="00F61B5B"/>
    <w:rsid w:val="00F61E84"/>
    <w:rsid w:val="00F6237B"/>
    <w:rsid w:val="00F62950"/>
    <w:rsid w:val="00F62EC3"/>
    <w:rsid w:val="00F63360"/>
    <w:rsid w:val="00F63416"/>
    <w:rsid w:val="00F63438"/>
    <w:rsid w:val="00F63843"/>
    <w:rsid w:val="00F640C0"/>
    <w:rsid w:val="00F643AD"/>
    <w:rsid w:val="00F6537F"/>
    <w:rsid w:val="00F653F2"/>
    <w:rsid w:val="00F65674"/>
    <w:rsid w:val="00F65BD2"/>
    <w:rsid w:val="00F6639F"/>
    <w:rsid w:val="00F6731C"/>
    <w:rsid w:val="00F67B36"/>
    <w:rsid w:val="00F67B83"/>
    <w:rsid w:val="00F7028D"/>
    <w:rsid w:val="00F70625"/>
    <w:rsid w:val="00F7065E"/>
    <w:rsid w:val="00F71850"/>
    <w:rsid w:val="00F71A08"/>
    <w:rsid w:val="00F71C41"/>
    <w:rsid w:val="00F71FEA"/>
    <w:rsid w:val="00F7214E"/>
    <w:rsid w:val="00F727AD"/>
    <w:rsid w:val="00F72AF5"/>
    <w:rsid w:val="00F72C12"/>
    <w:rsid w:val="00F731F6"/>
    <w:rsid w:val="00F73587"/>
    <w:rsid w:val="00F7364D"/>
    <w:rsid w:val="00F743B8"/>
    <w:rsid w:val="00F74401"/>
    <w:rsid w:val="00F74FBC"/>
    <w:rsid w:val="00F75498"/>
    <w:rsid w:val="00F755AC"/>
    <w:rsid w:val="00F7616F"/>
    <w:rsid w:val="00F76C69"/>
    <w:rsid w:val="00F76F61"/>
    <w:rsid w:val="00F77A31"/>
    <w:rsid w:val="00F8007B"/>
    <w:rsid w:val="00F80511"/>
    <w:rsid w:val="00F80C05"/>
    <w:rsid w:val="00F80EEE"/>
    <w:rsid w:val="00F810F8"/>
    <w:rsid w:val="00F8150A"/>
    <w:rsid w:val="00F81E6D"/>
    <w:rsid w:val="00F8223B"/>
    <w:rsid w:val="00F82822"/>
    <w:rsid w:val="00F82844"/>
    <w:rsid w:val="00F8299B"/>
    <w:rsid w:val="00F82AAC"/>
    <w:rsid w:val="00F82C2B"/>
    <w:rsid w:val="00F82C57"/>
    <w:rsid w:val="00F82EC6"/>
    <w:rsid w:val="00F82F8D"/>
    <w:rsid w:val="00F8364B"/>
    <w:rsid w:val="00F837BE"/>
    <w:rsid w:val="00F83A6B"/>
    <w:rsid w:val="00F83BEC"/>
    <w:rsid w:val="00F843E1"/>
    <w:rsid w:val="00F845C7"/>
    <w:rsid w:val="00F84794"/>
    <w:rsid w:val="00F84B3B"/>
    <w:rsid w:val="00F84FAF"/>
    <w:rsid w:val="00F85859"/>
    <w:rsid w:val="00F86C0D"/>
    <w:rsid w:val="00F874A4"/>
    <w:rsid w:val="00F87662"/>
    <w:rsid w:val="00F90176"/>
    <w:rsid w:val="00F90962"/>
    <w:rsid w:val="00F918AA"/>
    <w:rsid w:val="00F91B57"/>
    <w:rsid w:val="00F91D57"/>
    <w:rsid w:val="00F923E1"/>
    <w:rsid w:val="00F930A7"/>
    <w:rsid w:val="00F93486"/>
    <w:rsid w:val="00F93E32"/>
    <w:rsid w:val="00F93E6B"/>
    <w:rsid w:val="00F93FF5"/>
    <w:rsid w:val="00F948BA"/>
    <w:rsid w:val="00F9498C"/>
    <w:rsid w:val="00F95274"/>
    <w:rsid w:val="00F95F78"/>
    <w:rsid w:val="00F95F91"/>
    <w:rsid w:val="00F96386"/>
    <w:rsid w:val="00F9753E"/>
    <w:rsid w:val="00F97707"/>
    <w:rsid w:val="00F97C59"/>
    <w:rsid w:val="00FA086B"/>
    <w:rsid w:val="00FA1310"/>
    <w:rsid w:val="00FA16C3"/>
    <w:rsid w:val="00FA1774"/>
    <w:rsid w:val="00FA3E83"/>
    <w:rsid w:val="00FA3F9B"/>
    <w:rsid w:val="00FA44BB"/>
    <w:rsid w:val="00FA4678"/>
    <w:rsid w:val="00FA4758"/>
    <w:rsid w:val="00FA4F75"/>
    <w:rsid w:val="00FA51B3"/>
    <w:rsid w:val="00FA5BB2"/>
    <w:rsid w:val="00FA5BC9"/>
    <w:rsid w:val="00FA5D9D"/>
    <w:rsid w:val="00FA7580"/>
    <w:rsid w:val="00FA7799"/>
    <w:rsid w:val="00FA7882"/>
    <w:rsid w:val="00FA7B3F"/>
    <w:rsid w:val="00FB0758"/>
    <w:rsid w:val="00FB0BC9"/>
    <w:rsid w:val="00FB1178"/>
    <w:rsid w:val="00FB1D40"/>
    <w:rsid w:val="00FB2F1B"/>
    <w:rsid w:val="00FB3A7C"/>
    <w:rsid w:val="00FB4A4D"/>
    <w:rsid w:val="00FB4DD4"/>
    <w:rsid w:val="00FB4F02"/>
    <w:rsid w:val="00FB51AC"/>
    <w:rsid w:val="00FB59E4"/>
    <w:rsid w:val="00FB608F"/>
    <w:rsid w:val="00FB633B"/>
    <w:rsid w:val="00FB671B"/>
    <w:rsid w:val="00FB72EF"/>
    <w:rsid w:val="00FC009B"/>
    <w:rsid w:val="00FC14EE"/>
    <w:rsid w:val="00FC19AD"/>
    <w:rsid w:val="00FC2439"/>
    <w:rsid w:val="00FC27B2"/>
    <w:rsid w:val="00FC2B59"/>
    <w:rsid w:val="00FC490C"/>
    <w:rsid w:val="00FC4CB3"/>
    <w:rsid w:val="00FC53DE"/>
    <w:rsid w:val="00FC5E46"/>
    <w:rsid w:val="00FC68D9"/>
    <w:rsid w:val="00FC734D"/>
    <w:rsid w:val="00FC77FE"/>
    <w:rsid w:val="00FC79EF"/>
    <w:rsid w:val="00FD1AE1"/>
    <w:rsid w:val="00FD1C26"/>
    <w:rsid w:val="00FD1C97"/>
    <w:rsid w:val="00FD25BC"/>
    <w:rsid w:val="00FD27C9"/>
    <w:rsid w:val="00FD359E"/>
    <w:rsid w:val="00FD3698"/>
    <w:rsid w:val="00FD48C8"/>
    <w:rsid w:val="00FD4FA4"/>
    <w:rsid w:val="00FD567F"/>
    <w:rsid w:val="00FD600B"/>
    <w:rsid w:val="00FD617B"/>
    <w:rsid w:val="00FD7006"/>
    <w:rsid w:val="00FD70B7"/>
    <w:rsid w:val="00FD74CD"/>
    <w:rsid w:val="00FE1165"/>
    <w:rsid w:val="00FE1DA4"/>
    <w:rsid w:val="00FE2BA1"/>
    <w:rsid w:val="00FE2E50"/>
    <w:rsid w:val="00FE5735"/>
    <w:rsid w:val="00FE5989"/>
    <w:rsid w:val="00FE5A79"/>
    <w:rsid w:val="00FE61E6"/>
    <w:rsid w:val="00FE648C"/>
    <w:rsid w:val="00FE7745"/>
    <w:rsid w:val="00FE786F"/>
    <w:rsid w:val="00FE7C16"/>
    <w:rsid w:val="00FE7E21"/>
    <w:rsid w:val="00FF0077"/>
    <w:rsid w:val="00FF0361"/>
    <w:rsid w:val="00FF0C57"/>
    <w:rsid w:val="00FF1823"/>
    <w:rsid w:val="00FF1A64"/>
    <w:rsid w:val="00FF1BB7"/>
    <w:rsid w:val="00FF1C55"/>
    <w:rsid w:val="00FF1C5C"/>
    <w:rsid w:val="00FF1F0F"/>
    <w:rsid w:val="00FF35E5"/>
    <w:rsid w:val="00FF435E"/>
    <w:rsid w:val="00FF4D29"/>
    <w:rsid w:val="00FF5967"/>
    <w:rsid w:val="00FF6AFC"/>
    <w:rsid w:val="00FF6BEE"/>
    <w:rsid w:val="00FF6D86"/>
    <w:rsid w:val="02E32425"/>
    <w:rsid w:val="06355F00"/>
    <w:rsid w:val="0B0B0DC8"/>
    <w:rsid w:val="0CFB0AC2"/>
    <w:rsid w:val="0E7C2203"/>
    <w:rsid w:val="0EF3710E"/>
    <w:rsid w:val="102660B1"/>
    <w:rsid w:val="133C0F2F"/>
    <w:rsid w:val="137E3A35"/>
    <w:rsid w:val="14584538"/>
    <w:rsid w:val="154A2F50"/>
    <w:rsid w:val="15B10893"/>
    <w:rsid w:val="1AC12383"/>
    <w:rsid w:val="1B936D98"/>
    <w:rsid w:val="263A4622"/>
    <w:rsid w:val="27664E72"/>
    <w:rsid w:val="2996058C"/>
    <w:rsid w:val="2EDF24D9"/>
    <w:rsid w:val="2FA26334"/>
    <w:rsid w:val="2FAB633E"/>
    <w:rsid w:val="2FFF49DA"/>
    <w:rsid w:val="32215802"/>
    <w:rsid w:val="33163E65"/>
    <w:rsid w:val="35971B22"/>
    <w:rsid w:val="360F3EA9"/>
    <w:rsid w:val="38855C64"/>
    <w:rsid w:val="3A3FB5A5"/>
    <w:rsid w:val="3DE20C3E"/>
    <w:rsid w:val="3E196C9A"/>
    <w:rsid w:val="3F170FF0"/>
    <w:rsid w:val="3F9B54EF"/>
    <w:rsid w:val="40B14581"/>
    <w:rsid w:val="45687C95"/>
    <w:rsid w:val="466D9902"/>
    <w:rsid w:val="46FF082D"/>
    <w:rsid w:val="47FF549C"/>
    <w:rsid w:val="47FFC0DB"/>
    <w:rsid w:val="48234898"/>
    <w:rsid w:val="4DBC09DA"/>
    <w:rsid w:val="4E965F62"/>
    <w:rsid w:val="51645A01"/>
    <w:rsid w:val="51AD6E3C"/>
    <w:rsid w:val="53E83315"/>
    <w:rsid w:val="5579070C"/>
    <w:rsid w:val="557F7825"/>
    <w:rsid w:val="55CC6128"/>
    <w:rsid w:val="56092396"/>
    <w:rsid w:val="5BF00DE8"/>
    <w:rsid w:val="5CB70EAF"/>
    <w:rsid w:val="5D54643A"/>
    <w:rsid w:val="5ED639C1"/>
    <w:rsid w:val="5EEFCEA2"/>
    <w:rsid w:val="5FFEAD64"/>
    <w:rsid w:val="600B4656"/>
    <w:rsid w:val="66A35036"/>
    <w:rsid w:val="67F64EA0"/>
    <w:rsid w:val="68217291"/>
    <w:rsid w:val="699D0A15"/>
    <w:rsid w:val="6A5C27B7"/>
    <w:rsid w:val="6A956E28"/>
    <w:rsid w:val="6C493D71"/>
    <w:rsid w:val="6C4A7911"/>
    <w:rsid w:val="6FFF8257"/>
    <w:rsid w:val="71A42026"/>
    <w:rsid w:val="737BE03D"/>
    <w:rsid w:val="73FE443A"/>
    <w:rsid w:val="75ACB354"/>
    <w:rsid w:val="75EFBBA2"/>
    <w:rsid w:val="76141F5C"/>
    <w:rsid w:val="76305CD6"/>
    <w:rsid w:val="776472D5"/>
    <w:rsid w:val="77FF1261"/>
    <w:rsid w:val="7AFC25ED"/>
    <w:rsid w:val="7BAFDA1F"/>
    <w:rsid w:val="7CF775A6"/>
    <w:rsid w:val="7D2012E9"/>
    <w:rsid w:val="7EE01C93"/>
    <w:rsid w:val="7EFD0527"/>
    <w:rsid w:val="7F9F013B"/>
    <w:rsid w:val="7F9FF524"/>
    <w:rsid w:val="7FDE7507"/>
    <w:rsid w:val="8DBD0244"/>
    <w:rsid w:val="B5F9F19F"/>
    <w:rsid w:val="BA4F5A93"/>
    <w:rsid w:val="BFBF9B27"/>
    <w:rsid w:val="D2FE2CA3"/>
    <w:rsid w:val="D3FDF3E4"/>
    <w:rsid w:val="DB921984"/>
    <w:rsid w:val="DBDA0343"/>
    <w:rsid w:val="DF37E294"/>
    <w:rsid w:val="DFD598DF"/>
    <w:rsid w:val="E0B4F80B"/>
    <w:rsid w:val="E7FF043F"/>
    <w:rsid w:val="EAF742F9"/>
    <w:rsid w:val="F1DF9E93"/>
    <w:rsid w:val="F2B3173E"/>
    <w:rsid w:val="F37DE020"/>
    <w:rsid w:val="F3AF53C3"/>
    <w:rsid w:val="F9FFFF9C"/>
    <w:rsid w:val="FB7C1443"/>
    <w:rsid w:val="FBCBF901"/>
    <w:rsid w:val="FBFF5F0F"/>
    <w:rsid w:val="FD7AEB0B"/>
    <w:rsid w:val="FDFFCBCE"/>
    <w:rsid w:val="FF7709D1"/>
    <w:rsid w:val="FF7F11D8"/>
    <w:rsid w:val="FFCE6B2C"/>
    <w:rsid w:val="FF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8"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36"/>
    <w:semiHidden/>
    <w:unhideWhenUsed/>
    <w:qFormat/>
    <w:uiPriority w:val="99"/>
    <w:pPr>
      <w:ind w:left="100" w:leftChars="2500"/>
    </w:pPr>
  </w:style>
  <w:style w:type="paragraph" w:styleId="7">
    <w:name w:val="endnote text"/>
    <w:basedOn w:val="1"/>
    <w:link w:val="33"/>
    <w:semiHidden/>
    <w:unhideWhenUsed/>
    <w:qFormat/>
    <w:uiPriority w:val="99"/>
    <w:pPr>
      <w:snapToGrid w:val="0"/>
      <w:jc w:val="left"/>
    </w:pPr>
  </w:style>
  <w:style w:type="paragraph" w:styleId="8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link w:val="26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annotation subject"/>
    <w:basedOn w:val="5"/>
    <w:next w:val="5"/>
    <w:link w:val="29"/>
    <w:semiHidden/>
    <w:unhideWhenUsed/>
    <w:qFormat/>
    <w:uiPriority w:val="99"/>
    <w:rPr>
      <w:b/>
      <w:bCs/>
    </w:rPr>
  </w:style>
  <w:style w:type="character" w:styleId="16">
    <w:name w:val="endnote reference"/>
    <w:basedOn w:val="15"/>
    <w:semiHidden/>
    <w:unhideWhenUsed/>
    <w:qFormat/>
    <w:uiPriority w:val="99"/>
    <w:rPr>
      <w:vertAlign w:val="superscript"/>
    </w:rPr>
  </w:style>
  <w:style w:type="character" w:styleId="17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unhideWhenUsed/>
    <w:qFormat/>
    <w:uiPriority w:val="99"/>
    <w:rPr>
      <w:vertAlign w:val="superscript"/>
    </w:rPr>
  </w:style>
  <w:style w:type="character" w:customStyle="1" w:styleId="21">
    <w:name w:val="页眉 Char"/>
    <w:basedOn w:val="15"/>
    <w:link w:val="10"/>
    <w:qFormat/>
    <w:uiPriority w:val="99"/>
    <w:rPr>
      <w:sz w:val="18"/>
      <w:szCs w:val="18"/>
    </w:rPr>
  </w:style>
  <w:style w:type="character" w:customStyle="1" w:styleId="22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23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4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脚注文本 Char"/>
    <w:basedOn w:val="15"/>
    <w:link w:val="11"/>
    <w:qFormat/>
    <w:uiPriority w:val="99"/>
    <w:rPr>
      <w:sz w:val="18"/>
      <w:szCs w:val="18"/>
    </w:rPr>
  </w:style>
  <w:style w:type="character" w:customStyle="1" w:styleId="27">
    <w:name w:val="批注框文本 Char"/>
    <w:basedOn w:val="15"/>
    <w:link w:val="8"/>
    <w:semiHidden/>
    <w:qFormat/>
    <w:uiPriority w:val="99"/>
    <w:rPr>
      <w:sz w:val="18"/>
      <w:szCs w:val="18"/>
    </w:rPr>
  </w:style>
  <w:style w:type="character" w:customStyle="1" w:styleId="28">
    <w:name w:val="批注文字 Char"/>
    <w:basedOn w:val="15"/>
    <w:link w:val="5"/>
    <w:qFormat/>
    <w:uiPriority w:val="99"/>
  </w:style>
  <w:style w:type="character" w:customStyle="1" w:styleId="29">
    <w:name w:val="批注主题 Char"/>
    <w:basedOn w:val="28"/>
    <w:link w:val="13"/>
    <w:semiHidden/>
    <w:qFormat/>
    <w:uiPriority w:val="99"/>
    <w:rPr>
      <w:b/>
      <w:bCs/>
    </w:rPr>
  </w:style>
  <w:style w:type="paragraph" w:customStyle="1" w:styleId="3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1">
    <w:name w:val="标题 3 Char"/>
    <w:basedOn w:val="15"/>
    <w:link w:val="4"/>
    <w:qFormat/>
    <w:uiPriority w:val="0"/>
    <w:rPr>
      <w:b/>
      <w:bCs/>
      <w:sz w:val="32"/>
      <w:szCs w:val="32"/>
    </w:rPr>
  </w:style>
  <w:style w:type="paragraph" w:customStyle="1" w:styleId="32">
    <w:name w:val="大标题"/>
    <w:basedOn w:val="2"/>
    <w:qFormat/>
    <w:uiPriority w:val="0"/>
    <w:pPr>
      <w:jc w:val="center"/>
    </w:pPr>
    <w:rPr>
      <w:rFonts w:ascii="Arial" w:hAnsi="Arial" w:eastAsia="黑体" w:cs="Times New Roman"/>
      <w:sz w:val="36"/>
      <w:lang w:val="zh-CN"/>
    </w:rPr>
  </w:style>
  <w:style w:type="character" w:customStyle="1" w:styleId="33">
    <w:name w:val="尾注文本 Char"/>
    <w:basedOn w:val="15"/>
    <w:link w:val="7"/>
    <w:semiHidden/>
    <w:qFormat/>
    <w:uiPriority w:val="99"/>
  </w:style>
  <w:style w:type="paragraph" w:customStyle="1" w:styleId="34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6">
    <w:name w:val="日期 Char"/>
    <w:basedOn w:val="15"/>
    <w:link w:val="6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3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chart" Target="charts/chart7.xml"/><Relationship Id="rId15" Type="http://schemas.openxmlformats.org/officeDocument/2006/relationships/chart" Target="charts/chart6.xml"/><Relationship Id="rId14" Type="http://schemas.openxmlformats.org/officeDocument/2006/relationships/chart" Target="charts/chart5.xml"/><Relationship Id="rId13" Type="http://schemas.openxmlformats.org/officeDocument/2006/relationships/chart" Target="charts/chart4.xml"/><Relationship Id="rId12" Type="http://schemas.openxmlformats.org/officeDocument/2006/relationships/chart" Target="charts/chart3.xml"/><Relationship Id="rId11" Type="http://schemas.openxmlformats.org/officeDocument/2006/relationships/chart" Target="charts/chart2.xml"/><Relationship Id="rId10" Type="http://schemas.openxmlformats.org/officeDocument/2006/relationships/chart" Target="charts/chart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10.66.30.185\&#26032;&#24314;&#25991;&#20214;&#22841;\&#32705;&#28070;&#26469;\CSD&#23395;&#25253;\&#22270;&#34920;\&#22270;1&#65306;&#20538;&#21048;&#24066;&#22330;&#21457;&#34892;&#30331;&#35760;&#24773;&#20917;%20&#26356;&#26032;%2020260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\\10.66.30.185\&#26032;&#24314;&#25991;&#20214;&#22841;\&#32705;&#28070;&#26469;\CSD&#23395;&#25253;\&#22270;&#34920;\&#22270;2&#65306;&#19978;&#28023;&#28165;&#31639;&#25152;&#25176;&#31649;&#20313;&#39069;202606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\\10.66.30.185\&#26032;&#24314;&#25991;&#20214;&#22841;\&#32705;&#28070;&#26469;\CSD&#23395;&#25253;\&#22270;&#34920;\&#22270;3&#65306;&#36817;&#19968;&#24180;&#20538;&#21048;&#28165;&#31639;&#35268;&#27169;&#24773;&#20917;%20202606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\\10.66.30.185\&#26032;&#24314;&#25991;&#20214;&#22841;\&#32705;&#28070;&#26469;\CSD&#23395;&#25253;\&#22270;&#34920;\&#22270;5&#65306;&#20225;&#19994;&#20449;&#29992;&#20538;&#21048;&#27963;&#36291;&#21697;&#31181;&#30340;&#26085;&#22343;&#25442;&#25163;&#29575;&#27604;&#36739;%20202606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\\10.66.30.185\&#26032;&#24314;&#25991;&#20214;&#22841;\&#32705;&#28070;&#26469;\CSD&#23395;&#25253;\&#22270;&#34920;\&#22270;4&#65306;&#19978;&#28023;&#28165;&#31639;&#25152;&#22238;&#36141;&#19994;&#21153;&#27010;&#20917;&#65288;&#21333;&#20301;&#65306;&#20159;&#20803;&#65289;%20202606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file:///\\10.66.30.185\&#26032;&#24314;&#25991;&#20214;&#22841;\&#32705;&#28070;&#26469;\CSD&#23395;&#25253;\&#22270;&#34920;\&#22270;7&#65306;&#28165;&#31639;&#25152;&#20538;&#21153;&#25237;&#36164;&#32773;&#25345;&#26377;&#32467;&#26500;&#24773;&#20917;%20202606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oleObject" Target="file:///\\10.66.30.185\&#26032;&#24314;&#25991;&#20214;&#22841;\&#32705;&#28070;&#26469;\CSD&#23395;&#25253;\&#22270;&#34920;\&#22270;8&#65306;&#28165;&#31639;&#25152;&#20538;&#21153;&#34701;&#36164;&#24037;&#20855;&#25237;&#36164;&#32773;&#25345;&#26377;&#32467;&#26500;%2020260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492861134362"/>
          <c:y val="0.0609458048513958"/>
          <c:w val="0.866000752505422"/>
          <c:h val="0.62955713857732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'[图1：债券市场发行登记情况 更新 202606.xlsx]Sheet1-发行统计'!$C$2</c:f>
              <c:strCache>
                <c:ptCount val="1"/>
                <c:pt idx="0">
                  <c:v>同业存单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'[图1：债券市场发行登记情况 更新 202606.xlsx]Sheet1-发行统计'!$B$104:$B$116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'[图1：债券市场发行登记情况 更新 202606.xlsx]Sheet1-发行统计'!$C$104:$C$116</c:f>
              <c:numCache>
                <c:formatCode>0.00_ </c:formatCode>
                <c:ptCount val="13"/>
                <c:pt idx="0">
                  <c:v>34569.28745</c:v>
                </c:pt>
                <c:pt idx="1">
                  <c:v>24743.60516</c:v>
                </c:pt>
                <c:pt idx="2">
                  <c:v>26956.5008</c:v>
                </c:pt>
                <c:pt idx="3">
                  <c:v>31627.83165</c:v>
                </c:pt>
                <c:pt idx="4">
                  <c:v>25649</c:v>
                </c:pt>
                <c:pt idx="5">
                  <c:v>24009.23</c:v>
                </c:pt>
                <c:pt idx="6">
                  <c:v>31376.52558</c:v>
                </c:pt>
                <c:pt idx="7">
                  <c:v>16586.3039</c:v>
                </c:pt>
                <c:pt idx="8">
                  <c:v>16014.66066</c:v>
                </c:pt>
                <c:pt idx="9">
                  <c:v>34335.54825</c:v>
                </c:pt>
                <c:pt idx="10">
                  <c:v>25068.55796</c:v>
                </c:pt>
                <c:pt idx="11">
                  <c:v>31465.89371</c:v>
                </c:pt>
                <c:pt idx="12">
                  <c:v>39578.72684</c:v>
                </c:pt>
              </c:numCache>
            </c:numRef>
          </c:val>
        </c:ser>
        <c:ser>
          <c:idx val="1"/>
          <c:order val="1"/>
          <c:tx>
            <c:strRef>
              <c:f>'[图1：债券市场发行登记情况 更新 202606.xlsx]Sheet1-发行统计'!$D$2</c:f>
              <c:strCache>
                <c:ptCount val="1"/>
                <c:pt idx="0">
                  <c:v>公司信用类债券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'[图1：债券市场发行登记情况 更新 202606.xlsx]Sheet1-发行统计'!$B$104:$B$116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'[图1：债券市场发行登记情况 更新 202606.xlsx]Sheet1-发行统计'!$D$104:$D$116</c:f>
              <c:numCache>
                <c:formatCode>0.00_ </c:formatCode>
                <c:ptCount val="13"/>
                <c:pt idx="0">
                  <c:v>9143.752084</c:v>
                </c:pt>
                <c:pt idx="1">
                  <c:v>8960.9823277565</c:v>
                </c:pt>
                <c:pt idx="2">
                  <c:v>7917.8117929</c:v>
                </c:pt>
                <c:pt idx="3">
                  <c:v>8324.2660819993</c:v>
                </c:pt>
                <c:pt idx="4">
                  <c:v>7970.3983000323</c:v>
                </c:pt>
                <c:pt idx="5">
                  <c:v>9393.1</c:v>
                </c:pt>
                <c:pt idx="6">
                  <c:v>8183.7705</c:v>
                </c:pt>
                <c:pt idx="7">
                  <c:v>8461.034</c:v>
                </c:pt>
                <c:pt idx="8">
                  <c:v>3918.159</c:v>
                </c:pt>
                <c:pt idx="9">
                  <c:v>9806.6601464986</c:v>
                </c:pt>
                <c:pt idx="10">
                  <c:v>10210.053473</c:v>
                </c:pt>
                <c:pt idx="11">
                  <c:v>4213.439244</c:v>
                </c:pt>
                <c:pt idx="12">
                  <c:v>7920.4118</c:v>
                </c:pt>
              </c:numCache>
            </c:numRef>
          </c:val>
        </c:ser>
        <c:ser>
          <c:idx val="2"/>
          <c:order val="2"/>
          <c:tx>
            <c:strRef>
              <c:f>'[图1：债券市场发行登记情况 更新 202606.xlsx]Sheet1-发行统计'!$E$2</c:f>
              <c:strCache>
                <c:ptCount val="1"/>
                <c:pt idx="0">
                  <c:v>金融债券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'[图1：债券市场发行登记情况 更新 202606.xlsx]Sheet1-发行统计'!$B$104:$B$116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'[图1：债券市场发行登记情况 更新 202606.xlsx]Sheet1-发行统计'!$E$104:$E$116</c:f>
              <c:numCache>
                <c:formatCode>0.00_ </c:formatCode>
                <c:ptCount val="13"/>
                <c:pt idx="0">
                  <c:v>4117</c:v>
                </c:pt>
                <c:pt idx="1">
                  <c:v>5372</c:v>
                </c:pt>
                <c:pt idx="2">
                  <c:v>3660</c:v>
                </c:pt>
                <c:pt idx="3">
                  <c:v>4116</c:v>
                </c:pt>
                <c:pt idx="4">
                  <c:v>1830</c:v>
                </c:pt>
                <c:pt idx="5">
                  <c:v>5235.7</c:v>
                </c:pt>
                <c:pt idx="6">
                  <c:v>4393.4</c:v>
                </c:pt>
                <c:pt idx="7">
                  <c:v>1518</c:v>
                </c:pt>
                <c:pt idx="8">
                  <c:v>852</c:v>
                </c:pt>
                <c:pt idx="9">
                  <c:v>1354.7</c:v>
                </c:pt>
                <c:pt idx="10">
                  <c:v>5344.2</c:v>
                </c:pt>
                <c:pt idx="11">
                  <c:v>5714</c:v>
                </c:pt>
                <c:pt idx="12">
                  <c:v>7175.28</c:v>
                </c:pt>
              </c:numCache>
            </c:numRef>
          </c:val>
        </c:ser>
        <c:ser>
          <c:idx val="3"/>
          <c:order val="3"/>
          <c:tx>
            <c:strRef>
              <c:f>'[图1：债券市场发行登记情况 更新 202606.xlsx]Sheet1-发行统计'!$F$2</c:f>
              <c:strCache>
                <c:ptCount val="1"/>
                <c:pt idx="0">
                  <c:v>熊猫债及其他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'[图1：债券市场发行登记情况 更新 202606.xlsx]Sheet1-发行统计'!$B$104:$B$116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'[图1：债券市场发行登记情况 更新 202606.xlsx]Sheet1-发行统计'!$F$104:$F$116</c:f>
              <c:numCache>
                <c:formatCode>0.00_ </c:formatCode>
                <c:ptCount val="13"/>
                <c:pt idx="0">
                  <c:v>224.6966804</c:v>
                </c:pt>
                <c:pt idx="1">
                  <c:v>218.3919105</c:v>
                </c:pt>
                <c:pt idx="2">
                  <c:v>133.12982</c:v>
                </c:pt>
                <c:pt idx="3">
                  <c:v>121</c:v>
                </c:pt>
                <c:pt idx="4">
                  <c:v>203.48</c:v>
                </c:pt>
                <c:pt idx="5">
                  <c:v>128.94</c:v>
                </c:pt>
                <c:pt idx="6">
                  <c:v>106.1</c:v>
                </c:pt>
                <c:pt idx="7">
                  <c:v>335</c:v>
                </c:pt>
                <c:pt idx="8">
                  <c:v>204.35</c:v>
                </c:pt>
                <c:pt idx="9">
                  <c:v>340.88</c:v>
                </c:pt>
                <c:pt idx="10">
                  <c:v>280.1</c:v>
                </c:pt>
                <c:pt idx="11">
                  <c:v>242.4</c:v>
                </c:pt>
                <c:pt idx="12">
                  <c:v>278.5888711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48608712"/>
        <c:axId val="448611456"/>
      </c:barChart>
      <c:catAx>
        <c:axId val="448608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48611456"/>
        <c:crosses val="autoZero"/>
        <c:auto val="1"/>
        <c:lblAlgn val="ctr"/>
        <c:lblOffset val="100"/>
        <c:noMultiLvlLbl val="1"/>
      </c:catAx>
      <c:valAx>
        <c:axId val="44861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@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48608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370631924997"/>
          <c:y val="0.902204758786291"/>
          <c:w val="0.75331791062949"/>
          <c:h val="0.08731717965509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79d9388-2dc0-492e-be08-3e116007c1a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'[图2：上海清算所托管余额202606.xlsx]Sheet2-作图'!$B$1</c:f>
              <c:strCache>
                <c:ptCount val="1"/>
                <c:pt idx="0">
                  <c:v>同业存单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'[图2：上海清算所托管余额202606.xlsx]Sheet2-作图'!$A$103:$A$115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'[图2：上海清算所托管余额202606.xlsx]Sheet2-作图'!$B$103:$B$115</c:f>
              <c:numCache>
                <c:formatCode>0_);[Red]\(0\)</c:formatCode>
                <c:ptCount val="13"/>
                <c:pt idx="0">
                  <c:v>211123.06</c:v>
                </c:pt>
                <c:pt idx="1">
                  <c:v>207380.45</c:v>
                </c:pt>
                <c:pt idx="2">
                  <c:v>203824.35</c:v>
                </c:pt>
                <c:pt idx="3">
                  <c:v>199749.56</c:v>
                </c:pt>
                <c:pt idx="4">
                  <c:v>206963.66</c:v>
                </c:pt>
                <c:pt idx="5">
                  <c:v>203106.29</c:v>
                </c:pt>
                <c:pt idx="6">
                  <c:v>196882.51</c:v>
                </c:pt>
                <c:pt idx="7">
                  <c:v>190320.93</c:v>
                </c:pt>
                <c:pt idx="8">
                  <c:v>187730.74</c:v>
                </c:pt>
                <c:pt idx="9">
                  <c:v>186186.39</c:v>
                </c:pt>
                <c:pt idx="10">
                  <c:v>181889.45</c:v>
                </c:pt>
                <c:pt idx="11">
                  <c:v>184064.02781</c:v>
                </c:pt>
                <c:pt idx="12">
                  <c:v>191476.87</c:v>
                </c:pt>
              </c:numCache>
            </c:numRef>
          </c:val>
        </c:ser>
        <c:ser>
          <c:idx val="1"/>
          <c:order val="1"/>
          <c:tx>
            <c:strRef>
              <c:f>'[图2：上海清算所托管余额202606.xlsx]Sheet2-作图'!$C$1</c:f>
              <c:strCache>
                <c:ptCount val="1"/>
                <c:pt idx="0">
                  <c:v>公司信用类债券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'[图2：上海清算所托管余额202606.xlsx]Sheet2-作图'!$A$103:$A$115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'[图2：上海清算所托管余额202606.xlsx]Sheet2-作图'!$C$103:$C$115</c:f>
              <c:numCache>
                <c:formatCode>0_);[Red]\(0\)</c:formatCode>
                <c:ptCount val="13"/>
                <c:pt idx="0">
                  <c:v>167670.5</c:v>
                </c:pt>
                <c:pt idx="1">
                  <c:v>169714.81</c:v>
                </c:pt>
                <c:pt idx="2">
                  <c:v>170054</c:v>
                </c:pt>
                <c:pt idx="3">
                  <c:v>170831.06</c:v>
                </c:pt>
                <c:pt idx="4">
                  <c:v>172299.85</c:v>
                </c:pt>
                <c:pt idx="5">
                  <c:v>175227.27</c:v>
                </c:pt>
                <c:pt idx="6">
                  <c:v>175861.97</c:v>
                </c:pt>
                <c:pt idx="7">
                  <c:v>178703.17</c:v>
                </c:pt>
                <c:pt idx="8">
                  <c:v>179090</c:v>
                </c:pt>
                <c:pt idx="9">
                  <c:v>181086.83</c:v>
                </c:pt>
                <c:pt idx="10">
                  <c:v>183649.82</c:v>
                </c:pt>
                <c:pt idx="11">
                  <c:v>183615.270921019</c:v>
                </c:pt>
                <c:pt idx="12">
                  <c:v>185397.3</c:v>
                </c:pt>
              </c:numCache>
            </c:numRef>
          </c:val>
        </c:ser>
        <c:ser>
          <c:idx val="2"/>
          <c:order val="2"/>
          <c:tx>
            <c:strRef>
              <c:f>'[图2：上海清算所托管余额202606.xlsx]Sheet2-作图'!$D$1</c:f>
              <c:strCache>
                <c:ptCount val="1"/>
                <c:pt idx="0">
                  <c:v>金融债券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'[图2：上海清算所托管余额202606.xlsx]Sheet2-作图'!$A$103:$A$115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'[图2：上海清算所托管余额202606.xlsx]Sheet2-作图'!$D$103:$D$115</c:f>
              <c:numCache>
                <c:formatCode>0_);[Red]\(0\)</c:formatCode>
                <c:ptCount val="13"/>
                <c:pt idx="0">
                  <c:v>95667.27</c:v>
                </c:pt>
                <c:pt idx="1">
                  <c:v>100421.27</c:v>
                </c:pt>
                <c:pt idx="2">
                  <c:v>103536.97</c:v>
                </c:pt>
                <c:pt idx="3">
                  <c:v>106276.97</c:v>
                </c:pt>
                <c:pt idx="4">
                  <c:v>107599.37</c:v>
                </c:pt>
                <c:pt idx="5">
                  <c:v>111988.67</c:v>
                </c:pt>
                <c:pt idx="6">
                  <c:v>114877.17</c:v>
                </c:pt>
                <c:pt idx="7">
                  <c:v>116017.17</c:v>
                </c:pt>
                <c:pt idx="8">
                  <c:v>116322.17</c:v>
                </c:pt>
                <c:pt idx="9">
                  <c:v>116212.87</c:v>
                </c:pt>
                <c:pt idx="10">
                  <c:v>120528.07</c:v>
                </c:pt>
                <c:pt idx="11">
                  <c:v>125050.0735</c:v>
                </c:pt>
                <c:pt idx="12">
                  <c:v>130485.35</c:v>
                </c:pt>
              </c:numCache>
            </c:numRef>
          </c:val>
        </c:ser>
        <c:ser>
          <c:idx val="3"/>
          <c:order val="3"/>
          <c:tx>
            <c:strRef>
              <c:f>'[图2：上海清算所托管余额202606.xlsx]Sheet2-作图'!$E$1</c:f>
              <c:strCache>
                <c:ptCount val="1"/>
                <c:pt idx="0">
                  <c:v>熊猫债及其他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'[图2：上海清算所托管余额202606.xlsx]Sheet2-作图'!$A$103:$A$115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'[图2：上海清算所托管余额202606.xlsx]Sheet2-作图'!$E$103:$E$115</c:f>
              <c:numCache>
                <c:formatCode>0_);[Red]\(0\)</c:formatCode>
                <c:ptCount val="13"/>
                <c:pt idx="0">
                  <c:v>8780.8</c:v>
                </c:pt>
                <c:pt idx="1">
                  <c:v>9072.3</c:v>
                </c:pt>
                <c:pt idx="2">
                  <c:v>9451.57</c:v>
                </c:pt>
                <c:pt idx="3">
                  <c:v>9733.7</c:v>
                </c:pt>
                <c:pt idx="4">
                  <c:v>10155.84</c:v>
                </c:pt>
                <c:pt idx="5">
                  <c:v>10537.02</c:v>
                </c:pt>
                <c:pt idx="6">
                  <c:v>11192.56</c:v>
                </c:pt>
                <c:pt idx="7">
                  <c:v>12010</c:v>
                </c:pt>
                <c:pt idx="8">
                  <c:v>12349.09</c:v>
                </c:pt>
                <c:pt idx="9">
                  <c:v>12596.32</c:v>
                </c:pt>
                <c:pt idx="10">
                  <c:v>13042.96</c:v>
                </c:pt>
                <c:pt idx="11">
                  <c:v>13498.5218568897</c:v>
                </c:pt>
                <c:pt idx="12">
                  <c:v>13758.31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63888528"/>
        <c:axId val="524362200"/>
      </c:barChart>
      <c:catAx>
        <c:axId val="363888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24362200"/>
        <c:crosses val="autoZero"/>
        <c:auto val="1"/>
        <c:lblAlgn val="ctr"/>
        <c:lblOffset val="100"/>
        <c:noMultiLvlLbl val="1"/>
      </c:catAx>
      <c:valAx>
        <c:axId val="524362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6388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971951219512195"/>
          <c:y val="0.89741847826087"/>
          <c:w val="0.806463414634146"/>
          <c:h val="0.09578804347826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e20f903-ebad-478f-8dfe-353a2f2cfa83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266422061782"/>
          <c:y val="0.0466809421841542"/>
          <c:w val="0.832500887679015"/>
          <c:h val="0.6360599571734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'[图3：近一年债券清算规模情况 202606.xlsx]上海清算所清算量概况'!$B$1</c:f>
              <c:strCache>
                <c:ptCount val="1"/>
                <c:pt idx="0">
                  <c:v>现券（左轴）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'[图3：近一年债券清算规模情况 202606.xlsx]上海清算所清算量概况'!$A$61:$A$73</c:f>
              <c:numCache>
                <c:formatCode>yyyy"年"m"月"</c:formatCode>
                <c:ptCount val="13"/>
                <c:pt idx="0" c:formatCode="yyyy&quot;年&quot;m&quot;月&quot;">
                  <c:v>45814</c:v>
                </c:pt>
                <c:pt idx="1" c:formatCode="yyyy&quot;年&quot;m&quot;月&quot;">
                  <c:v>45845</c:v>
                </c:pt>
                <c:pt idx="2" c:formatCode="yyyy&quot;年&quot;m&quot;月&quot;">
                  <c:v>45876</c:v>
                </c:pt>
                <c:pt idx="3" c:formatCode="yyyy&quot;年&quot;m&quot;月&quot;">
                  <c:v>45908</c:v>
                </c:pt>
                <c:pt idx="4" c:formatCode="yyyy&quot;年&quot;m&quot;月&quot;">
                  <c:v>45939</c:v>
                </c:pt>
                <c:pt idx="5" c:formatCode="yyyy&quot;年&quot;m&quot;月&quot;">
                  <c:v>45971</c:v>
                </c:pt>
                <c:pt idx="6" c:formatCode="yyyy&quot;年&quot;m&quot;月&quot;">
                  <c:v>46003</c:v>
                </c:pt>
                <c:pt idx="7" c:formatCode="yyyy&quot;年&quot;m&quot;月&quot;">
                  <c:v>46035</c:v>
                </c:pt>
                <c:pt idx="8" c:formatCode="yyyy&quot;年&quot;m&quot;月&quot;">
                  <c:v>46067</c:v>
                </c:pt>
                <c:pt idx="9" c:formatCode="yyyy&quot;年&quot;m&quot;月&quot;">
                  <c:v>46096</c:v>
                </c:pt>
                <c:pt idx="10" c:formatCode="yyyy&quot;年&quot;m&quot;月&quot;">
                  <c:v>46127</c:v>
                </c:pt>
                <c:pt idx="11" c:formatCode="yyyy&quot;年&quot;m&quot;月&quot;">
                  <c:v>46158</c:v>
                </c:pt>
                <c:pt idx="12" c:formatCode="yyyy&quot;年&quot;m&quot;月&quot;">
                  <c:v>46190</c:v>
                </c:pt>
              </c:numCache>
            </c:numRef>
          </c:cat>
          <c:val>
            <c:numRef>
              <c:f>'[图3：近一年债券清算规模情况 202606.xlsx]上海清算所清算量概况'!$B$61:$B$73</c:f>
              <c:numCache>
                <c:formatCode>#,##0.00_ </c:formatCode>
                <c:ptCount val="13"/>
                <c:pt idx="0">
                  <c:v>113106.891822</c:v>
                </c:pt>
                <c:pt idx="1">
                  <c:v>116323.315925</c:v>
                </c:pt>
                <c:pt idx="2">
                  <c:v>96323.007993</c:v>
                </c:pt>
                <c:pt idx="3">
                  <c:v>98013.045718</c:v>
                </c:pt>
                <c:pt idx="4" c:formatCode="#,##0.00">
                  <c:v>79281.614057</c:v>
                </c:pt>
                <c:pt idx="5" c:formatCode="#,##0.00">
                  <c:v>92293.515532</c:v>
                </c:pt>
                <c:pt idx="6" c:formatCode="#,##0.00">
                  <c:v>117090.006485</c:v>
                </c:pt>
                <c:pt idx="7" c:formatCode="#,##0.00">
                  <c:v>91636.177833</c:v>
                </c:pt>
                <c:pt idx="8" c:formatCode="#,##0.00">
                  <c:v>59423.429362</c:v>
                </c:pt>
                <c:pt idx="9" c:formatCode="#,##0.00">
                  <c:v>109507.979923</c:v>
                </c:pt>
                <c:pt idx="10" c:formatCode="#,##0.00">
                  <c:v>110844.467864</c:v>
                </c:pt>
                <c:pt idx="11" c:formatCode="#,##0.00">
                  <c:v>94285.904933</c:v>
                </c:pt>
                <c:pt idx="12" c:formatCode="#,##0.00">
                  <c:v>118563.285338</c:v>
                </c:pt>
              </c:numCache>
            </c:numRef>
          </c:val>
        </c:ser>
        <c:ser>
          <c:idx val="1"/>
          <c:order val="1"/>
          <c:tx>
            <c:strRef>
              <c:f>'[图3：近一年债券清算规模情况 202606.xlsx]上海清算所清算量概况'!$C$1</c:f>
              <c:strCache>
                <c:ptCount val="1"/>
                <c:pt idx="0">
                  <c:v>回购（左轴）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'[图3：近一年债券清算规模情况 202606.xlsx]上海清算所清算量概况'!$A$61:$A$73</c:f>
              <c:numCache>
                <c:formatCode>yyyy"年"m"月"</c:formatCode>
                <c:ptCount val="13"/>
                <c:pt idx="0" c:formatCode="yyyy&quot;年&quot;m&quot;月&quot;">
                  <c:v>45814</c:v>
                </c:pt>
                <c:pt idx="1" c:formatCode="yyyy&quot;年&quot;m&quot;月&quot;">
                  <c:v>45845</c:v>
                </c:pt>
                <c:pt idx="2" c:formatCode="yyyy&quot;年&quot;m&quot;月&quot;">
                  <c:v>45876</c:v>
                </c:pt>
                <c:pt idx="3" c:formatCode="yyyy&quot;年&quot;m&quot;月&quot;">
                  <c:v>45908</c:v>
                </c:pt>
                <c:pt idx="4" c:formatCode="yyyy&quot;年&quot;m&quot;月&quot;">
                  <c:v>45939</c:v>
                </c:pt>
                <c:pt idx="5" c:formatCode="yyyy&quot;年&quot;m&quot;月&quot;">
                  <c:v>45971</c:v>
                </c:pt>
                <c:pt idx="6" c:formatCode="yyyy&quot;年&quot;m&quot;月&quot;">
                  <c:v>46003</c:v>
                </c:pt>
                <c:pt idx="7" c:formatCode="yyyy&quot;年&quot;m&quot;月&quot;">
                  <c:v>46035</c:v>
                </c:pt>
                <c:pt idx="8" c:formatCode="yyyy&quot;年&quot;m&quot;月&quot;">
                  <c:v>46067</c:v>
                </c:pt>
                <c:pt idx="9" c:formatCode="yyyy&quot;年&quot;m&quot;月&quot;">
                  <c:v>46096</c:v>
                </c:pt>
                <c:pt idx="10" c:formatCode="yyyy&quot;年&quot;m&quot;月&quot;">
                  <c:v>46127</c:v>
                </c:pt>
                <c:pt idx="11" c:formatCode="yyyy&quot;年&quot;m&quot;月&quot;">
                  <c:v>46158</c:v>
                </c:pt>
                <c:pt idx="12" c:formatCode="yyyy&quot;年&quot;m&quot;月&quot;">
                  <c:v>46190</c:v>
                </c:pt>
              </c:numCache>
            </c:numRef>
          </c:cat>
          <c:val>
            <c:numRef>
              <c:f>'[图3：近一年债券清算规模情况 202606.xlsx]上海清算所清算量概况'!$C$61:$C$73</c:f>
              <c:numCache>
                <c:formatCode>#,##0.00_ </c:formatCode>
                <c:ptCount val="13"/>
                <c:pt idx="0">
                  <c:v>410154.671</c:v>
                </c:pt>
                <c:pt idx="1">
                  <c:v>441800.545</c:v>
                </c:pt>
                <c:pt idx="2">
                  <c:v>398817.662</c:v>
                </c:pt>
                <c:pt idx="3">
                  <c:v>396279.027</c:v>
                </c:pt>
                <c:pt idx="4" c:formatCode="#,##0.00">
                  <c:v>352667.971</c:v>
                </c:pt>
                <c:pt idx="5" c:formatCode="#,##0.00">
                  <c:v>398369.473</c:v>
                </c:pt>
                <c:pt idx="6" c:formatCode="#,##0.00">
                  <c:v>526431.003</c:v>
                </c:pt>
                <c:pt idx="7" c:formatCode="#,##0.00">
                  <c:v>488024.376</c:v>
                </c:pt>
                <c:pt idx="8" c:formatCode="#,##0.00">
                  <c:v>343549.137</c:v>
                </c:pt>
                <c:pt idx="9" c:formatCode="#,##0.00">
                  <c:v>555779.538</c:v>
                </c:pt>
                <c:pt idx="10" c:formatCode="#,##0.00">
                  <c:v>583126.824</c:v>
                </c:pt>
                <c:pt idx="11" c:formatCode="#,##0.00">
                  <c:v>427126.319</c:v>
                </c:pt>
                <c:pt idx="12" c:formatCode="#,##0.00">
                  <c:v>391127.73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4817968"/>
        <c:axId val="514813656"/>
      </c:barChart>
      <c:lineChart>
        <c:grouping val="standard"/>
        <c:varyColors val="0"/>
        <c:ser>
          <c:idx val="2"/>
          <c:order val="2"/>
          <c:tx>
            <c:strRef>
              <c:f>'[图3：近一年债券清算规模情况 202606.xlsx]上海清算所清算量概况'!$D$1</c:f>
              <c:strCache>
                <c:ptCount val="1"/>
                <c:pt idx="0">
                  <c:v>分销（右轴）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numRef>
              <c:f>'[图3：近一年债券清算规模情况 202606.xlsx]上海清算所清算量概况'!$A$61:$A$73</c:f>
              <c:numCache>
                <c:formatCode>yyyy"年"m"月"</c:formatCode>
                <c:ptCount val="13"/>
                <c:pt idx="0" c:formatCode="yyyy&quot;年&quot;m&quot;月&quot;">
                  <c:v>45814</c:v>
                </c:pt>
                <c:pt idx="1" c:formatCode="yyyy&quot;年&quot;m&quot;月&quot;">
                  <c:v>45845</c:v>
                </c:pt>
                <c:pt idx="2" c:formatCode="yyyy&quot;年&quot;m&quot;月&quot;">
                  <c:v>45876</c:v>
                </c:pt>
                <c:pt idx="3" c:formatCode="yyyy&quot;年&quot;m&quot;月&quot;">
                  <c:v>45908</c:v>
                </c:pt>
                <c:pt idx="4" c:formatCode="yyyy&quot;年&quot;m&quot;月&quot;">
                  <c:v>45939</c:v>
                </c:pt>
                <c:pt idx="5" c:formatCode="yyyy&quot;年&quot;m&quot;月&quot;">
                  <c:v>45971</c:v>
                </c:pt>
                <c:pt idx="6" c:formatCode="yyyy&quot;年&quot;m&quot;月&quot;">
                  <c:v>46003</c:v>
                </c:pt>
                <c:pt idx="7" c:formatCode="yyyy&quot;年&quot;m&quot;月&quot;">
                  <c:v>46035</c:v>
                </c:pt>
                <c:pt idx="8" c:formatCode="yyyy&quot;年&quot;m&quot;月&quot;">
                  <c:v>46067</c:v>
                </c:pt>
                <c:pt idx="9" c:formatCode="yyyy&quot;年&quot;m&quot;月&quot;">
                  <c:v>46096</c:v>
                </c:pt>
                <c:pt idx="10" c:formatCode="yyyy&quot;年&quot;m&quot;月&quot;">
                  <c:v>46127</c:v>
                </c:pt>
                <c:pt idx="11" c:formatCode="yyyy&quot;年&quot;m&quot;月&quot;">
                  <c:v>46158</c:v>
                </c:pt>
                <c:pt idx="12" c:formatCode="yyyy&quot;年&quot;m&quot;月&quot;">
                  <c:v>46190</c:v>
                </c:pt>
              </c:numCache>
            </c:numRef>
          </c:cat>
          <c:val>
            <c:numRef>
              <c:f>'[图3：近一年债券清算规模情况 202606.xlsx]上海清算所清算量概况'!$D$61:$D$73</c:f>
              <c:numCache>
                <c:formatCode>#,##0.00_ </c:formatCode>
                <c:ptCount val="13"/>
                <c:pt idx="0">
                  <c:v>4805.859</c:v>
                </c:pt>
                <c:pt idx="1">
                  <c:v>5019.228</c:v>
                </c:pt>
                <c:pt idx="2">
                  <c:v>4313.7765</c:v>
                </c:pt>
                <c:pt idx="3">
                  <c:v>4723.01293934</c:v>
                </c:pt>
                <c:pt idx="4" c:formatCode="#,##0.00">
                  <c:v>3394.626</c:v>
                </c:pt>
                <c:pt idx="5" c:formatCode="#,##0.00">
                  <c:v>5998.801</c:v>
                </c:pt>
                <c:pt idx="6" c:formatCode="#,##0.00">
                  <c:v>5273.194</c:v>
                </c:pt>
                <c:pt idx="7" c:formatCode="#,##0.00">
                  <c:v>2579.867</c:v>
                </c:pt>
                <c:pt idx="8" c:formatCode="#,##0.00">
                  <c:v>1490.294</c:v>
                </c:pt>
                <c:pt idx="9" c:formatCode="#,##0.00">
                  <c:v>3609.942</c:v>
                </c:pt>
                <c:pt idx="10" c:formatCode="#,##0.00">
                  <c:v>6334.381</c:v>
                </c:pt>
                <c:pt idx="11" c:formatCode="#,##0.00">
                  <c:v>4390.053</c:v>
                </c:pt>
                <c:pt idx="12" c:formatCode="#,##0.00">
                  <c:v>5297.729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'[图3：近一年债券清算规模情况 202606.xlsx]上海清算所清算量概况'!$E$1</c:f>
              <c:strCache>
                <c:ptCount val="1"/>
                <c:pt idx="0">
                  <c:v>借贷（右轴）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numRef>
              <c:f>'[图3：近一年债券清算规模情况 202606.xlsx]上海清算所清算量概况'!$A$61:$A$73</c:f>
              <c:numCache>
                <c:formatCode>yyyy"年"m"月"</c:formatCode>
                <c:ptCount val="13"/>
                <c:pt idx="0" c:formatCode="yyyy&quot;年&quot;m&quot;月&quot;">
                  <c:v>45814</c:v>
                </c:pt>
                <c:pt idx="1" c:formatCode="yyyy&quot;年&quot;m&quot;月&quot;">
                  <c:v>45845</c:v>
                </c:pt>
                <c:pt idx="2" c:formatCode="yyyy&quot;年&quot;m&quot;月&quot;">
                  <c:v>45876</c:v>
                </c:pt>
                <c:pt idx="3" c:formatCode="yyyy&quot;年&quot;m&quot;月&quot;">
                  <c:v>45908</c:v>
                </c:pt>
                <c:pt idx="4" c:formatCode="yyyy&quot;年&quot;m&quot;月&quot;">
                  <c:v>45939</c:v>
                </c:pt>
                <c:pt idx="5" c:formatCode="yyyy&quot;年&quot;m&quot;月&quot;">
                  <c:v>45971</c:v>
                </c:pt>
                <c:pt idx="6" c:formatCode="yyyy&quot;年&quot;m&quot;月&quot;">
                  <c:v>46003</c:v>
                </c:pt>
                <c:pt idx="7" c:formatCode="yyyy&quot;年&quot;m&quot;月&quot;">
                  <c:v>46035</c:v>
                </c:pt>
                <c:pt idx="8" c:formatCode="yyyy&quot;年&quot;m&quot;月&quot;">
                  <c:v>46067</c:v>
                </c:pt>
                <c:pt idx="9" c:formatCode="yyyy&quot;年&quot;m&quot;月&quot;">
                  <c:v>46096</c:v>
                </c:pt>
                <c:pt idx="10" c:formatCode="yyyy&quot;年&quot;m&quot;月&quot;">
                  <c:v>46127</c:v>
                </c:pt>
                <c:pt idx="11" c:formatCode="yyyy&quot;年&quot;m&quot;月&quot;">
                  <c:v>46158</c:v>
                </c:pt>
                <c:pt idx="12" c:formatCode="yyyy&quot;年&quot;m&quot;月&quot;">
                  <c:v>46190</c:v>
                </c:pt>
              </c:numCache>
            </c:numRef>
          </c:cat>
          <c:val>
            <c:numRef>
              <c:f>'[图3：近一年债券清算规模情况 202606.xlsx]上海清算所清算量概况'!$E$61:$E$73</c:f>
              <c:numCache>
                <c:formatCode>#,##0.00_ </c:formatCode>
                <c:ptCount val="13"/>
                <c:pt idx="0">
                  <c:v>591.532</c:v>
                </c:pt>
                <c:pt idx="1">
                  <c:v>852.312</c:v>
                </c:pt>
                <c:pt idx="2">
                  <c:v>661.055</c:v>
                </c:pt>
                <c:pt idx="3">
                  <c:v>597.666</c:v>
                </c:pt>
                <c:pt idx="4" c:formatCode="#,##0.00">
                  <c:v>624.613</c:v>
                </c:pt>
                <c:pt idx="5" c:formatCode="#,##0.00">
                  <c:v>624.134</c:v>
                </c:pt>
                <c:pt idx="6" c:formatCode="#,##0.00">
                  <c:v>525.849</c:v>
                </c:pt>
                <c:pt idx="7" c:formatCode="#,##0.00">
                  <c:v>869.587</c:v>
                </c:pt>
                <c:pt idx="8" c:formatCode="#,##0.00">
                  <c:v>576.58</c:v>
                </c:pt>
                <c:pt idx="9" c:formatCode="#,##0.00">
                  <c:v>629.962</c:v>
                </c:pt>
                <c:pt idx="10" c:formatCode="#,##0.00">
                  <c:v>854.831</c:v>
                </c:pt>
                <c:pt idx="11" c:formatCode="#,##0.00">
                  <c:v>609.148</c:v>
                </c:pt>
                <c:pt idx="12" c:formatCode="#,##0.00">
                  <c:v>661.975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514820320"/>
        <c:axId val="514819144"/>
      </c:lineChart>
      <c:catAx>
        <c:axId val="514817968"/>
        <c:scaling>
          <c:orientation val="minMax"/>
        </c:scaling>
        <c:delete val="0"/>
        <c:axPos val="b"/>
        <c:numFmt formatCode="yyyy&quot;年&quot;m&quot;月&quot;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14813656"/>
        <c:crosses val="autoZero"/>
        <c:auto val="0"/>
        <c:lblAlgn val="ctr"/>
        <c:lblOffset val="100"/>
        <c:noMultiLvlLbl val="0"/>
      </c:catAx>
      <c:valAx>
        <c:axId val="514813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14817968"/>
        <c:crosses val="autoZero"/>
        <c:crossBetween val="between"/>
      </c:valAx>
      <c:dateAx>
        <c:axId val="514820320"/>
        <c:scaling>
          <c:orientation val="minMax"/>
        </c:scaling>
        <c:delete val="1"/>
        <c:axPos val="b"/>
        <c:numFmt formatCode="yyyy&quot;年&quot;m&quot;月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14819144"/>
        <c:crosses val="autoZero"/>
        <c:auto val="1"/>
        <c:lblOffset val="100"/>
        <c:baseTimeUnit val="months"/>
      </c:dateAx>
      <c:valAx>
        <c:axId val="514819144"/>
        <c:scaling>
          <c:orientation val="minMax"/>
        </c:scaling>
        <c:delete val="0"/>
        <c:axPos val="r"/>
        <c:numFmt formatCode="#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1482032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238844833708"/>
          <c:y val="0.908613696015271"/>
          <c:w val="0.763522310332584"/>
          <c:h val="0.08422810785015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86a0ea5-2a6c-42bb-aafe-2c4a67adde7d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7025933856769"/>
          <c:y val="0.0570645402442063"/>
          <c:w val="0.865857720675708"/>
          <c:h val="0.601893845003738"/>
        </c:manualLayout>
      </c:layout>
      <c:lineChart>
        <c:grouping val="standard"/>
        <c:varyColors val="0"/>
        <c:ser>
          <c:idx val="0"/>
          <c:order val="0"/>
          <c:tx>
            <c:strRef>
              <c:f>'[图5：企业信用债券活跃品种的日均换手率比较 202606.xlsx]Sheet1-换手率计算'!$C$1</c:f>
              <c:strCache>
                <c:ptCount val="1"/>
                <c:pt idx="0">
                  <c:v>公司信用类债券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'[图5：企业信用债券活跃品种的日均换手率比较 202606.xlsx]Sheet1-换手率计算'!$B$87:$B$99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'[图5：企业信用债券活跃品种的日均换手率比较 202606.xlsx]Sheet1-换手率计算'!$C$87:$C$99</c:f>
              <c:numCache>
                <c:formatCode>0.00%</c:formatCode>
                <c:ptCount val="13"/>
                <c:pt idx="0">
                  <c:v>0.007</c:v>
                </c:pt>
                <c:pt idx="1">
                  <c:v>0.0063</c:v>
                </c:pt>
                <c:pt idx="2">
                  <c:v>0.0057</c:v>
                </c:pt>
                <c:pt idx="3">
                  <c:v>0.0054</c:v>
                </c:pt>
                <c:pt idx="4">
                  <c:v>0.0062</c:v>
                </c:pt>
                <c:pt idx="5">
                  <c:v>0.0058</c:v>
                </c:pt>
                <c:pt idx="6">
                  <c:v>0.0058</c:v>
                </c:pt>
                <c:pt idx="7">
                  <c:v>0.0059</c:v>
                </c:pt>
                <c:pt idx="8">
                  <c:v>0.0045</c:v>
                </c:pt>
                <c:pt idx="9">
                  <c:v>0.006</c:v>
                </c:pt>
                <c:pt idx="10">
                  <c:v>0.0062</c:v>
                </c:pt>
                <c:pt idx="11">
                  <c:v>0.0061</c:v>
                </c:pt>
                <c:pt idx="12">
                  <c:v>0.0054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'[图5：企业信用债券活跃品种的日均换手率比较 202606.xlsx]Sheet1-换手率计算'!$D$1</c:f>
              <c:strCache>
                <c:ptCount val="1"/>
                <c:pt idx="0">
                  <c:v>金融债券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'[图5：企业信用债券活跃品种的日均换手率比较 202606.xlsx]Sheet1-换手率计算'!$B$87:$B$99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'[图5：企业信用债券活跃品种的日均换手率比较 202606.xlsx]Sheet1-换手率计算'!$D$87:$D$99</c:f>
              <c:numCache>
                <c:formatCode>0.00%</c:formatCode>
                <c:ptCount val="13"/>
                <c:pt idx="0">
                  <c:v>0.0076</c:v>
                </c:pt>
                <c:pt idx="1">
                  <c:v>0.0082</c:v>
                </c:pt>
                <c:pt idx="2">
                  <c:v>0.0069</c:v>
                </c:pt>
                <c:pt idx="3">
                  <c:v>0.0065</c:v>
                </c:pt>
                <c:pt idx="4">
                  <c:v>0.006</c:v>
                </c:pt>
                <c:pt idx="5">
                  <c:v>0.0076</c:v>
                </c:pt>
                <c:pt idx="6">
                  <c:v>0.0086</c:v>
                </c:pt>
                <c:pt idx="7">
                  <c:v>0.0081</c:v>
                </c:pt>
                <c:pt idx="8">
                  <c:v>0.0063</c:v>
                </c:pt>
                <c:pt idx="9">
                  <c:v>0.0076</c:v>
                </c:pt>
                <c:pt idx="10">
                  <c:v>0.0092</c:v>
                </c:pt>
                <c:pt idx="11">
                  <c:v>0.0081</c:v>
                </c:pt>
                <c:pt idx="12">
                  <c:v>0.0094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'[图5：企业信用债券活跃品种的日均换手率比较 202606.xlsx]Sheet1-换手率计算'!$E$1</c:f>
              <c:strCache>
                <c:ptCount val="1"/>
                <c:pt idx="0">
                  <c:v>同业存单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'[图5：企业信用债券活跃品种的日均换手率比较 202606.xlsx]Sheet1-换手率计算'!$B$87:$B$99</c:f>
              <c:strCache>
                <c:ptCount val="13"/>
                <c:pt idx="0" c:formatCode="yyyy&quot;年&quot;m&quot;月&quot;">
                  <c:v>2025年6月</c:v>
                </c:pt>
                <c:pt idx="1" c:formatCode="yyyy&quot;年&quot;m&quot;月&quot;">
                  <c:v>2025年7月</c:v>
                </c:pt>
                <c:pt idx="2" c:formatCode="yyyy&quot;年&quot;m&quot;月&quot;">
                  <c:v>2025年8月</c:v>
                </c:pt>
                <c:pt idx="3" c:formatCode="yyyy&quot;年&quot;m&quot;月&quot;">
                  <c:v>2025年9月</c:v>
                </c:pt>
                <c:pt idx="4" c:formatCode="yyyy&quot;年&quot;m&quot;月&quot;">
                  <c:v>2025年10月</c:v>
                </c:pt>
                <c:pt idx="5" c:formatCode="yyyy&quot;年&quot;m&quot;月&quot;">
                  <c:v>2025年11月</c:v>
                </c:pt>
                <c:pt idx="6" c:formatCode="yyyy&quot;年&quot;m&quot;月&quot;">
                  <c:v>2025年12月</c:v>
                </c:pt>
                <c:pt idx="7" c:formatCode="yyyy&quot;年&quot;m&quot;月&quot;">
                  <c:v>2026年1月</c:v>
                </c:pt>
                <c:pt idx="8" c:formatCode="yyyy&quot;年&quot;m&quot;月&quot;">
                  <c:v>2026年2月</c:v>
                </c:pt>
                <c:pt idx="9" c:formatCode="yyyy&quot;年&quot;m&quot;月&quot;">
                  <c:v>2026年3月</c:v>
                </c:pt>
                <c:pt idx="10" c:formatCode="yyyy&quot;年&quot;m&quot;月&quot;">
                  <c:v>2026年4月</c:v>
                </c:pt>
                <c:pt idx="11" c:formatCode="yyyy&quot;年&quot;m&quot;月&quot;">
                  <c:v>2026年5月</c:v>
                </c:pt>
                <c:pt idx="12" c:formatCode="yyyy&quot;年&quot;m&quot;月&quot;">
                  <c:v>2026年6月</c:v>
                </c:pt>
              </c:strCache>
            </c:strRef>
          </c:cat>
          <c:val>
            <c:numRef>
              <c:f>'[图5：企业信用债券活跃品种的日均换手率比较 202606.xlsx]Sheet1-换手率计算'!$E$87:$E$99</c:f>
              <c:numCache>
                <c:formatCode>0.00%</c:formatCode>
                <c:ptCount val="13"/>
                <c:pt idx="0">
                  <c:v>0.0174</c:v>
                </c:pt>
                <c:pt idx="1">
                  <c:v>0.015</c:v>
                </c:pt>
                <c:pt idx="2">
                  <c:v>0.014</c:v>
                </c:pt>
                <c:pt idx="3">
                  <c:v>0.0131</c:v>
                </c:pt>
                <c:pt idx="4">
                  <c:v>0.0128</c:v>
                </c:pt>
                <c:pt idx="5">
                  <c:v>0.0132</c:v>
                </c:pt>
                <c:pt idx="6">
                  <c:v>0.0153</c:v>
                </c:pt>
                <c:pt idx="7">
                  <c:v>0.0121</c:v>
                </c:pt>
                <c:pt idx="8">
                  <c:v>0.0113</c:v>
                </c:pt>
                <c:pt idx="9">
                  <c:v>0.0157</c:v>
                </c:pt>
                <c:pt idx="10">
                  <c:v>0.0163</c:v>
                </c:pt>
                <c:pt idx="11">
                  <c:v>0.0156</c:v>
                </c:pt>
                <c:pt idx="12">
                  <c:v>0.0174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359491368"/>
        <c:axId val="532675448"/>
      </c:lineChart>
      <c:dateAx>
        <c:axId val="359491368"/>
        <c:scaling>
          <c:orientation val="minMax"/>
        </c:scaling>
        <c:delete val="0"/>
        <c:axPos val="b"/>
        <c:numFmt formatCode="yyyy&quot;年&quot;m&quot;月&quot;;@" sourceLinked="0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32675448"/>
        <c:crosses val="autoZero"/>
        <c:auto val="0"/>
        <c:lblAlgn val="ctr"/>
        <c:lblOffset val="300"/>
        <c:baseTimeUnit val="days"/>
      </c:dateAx>
      <c:valAx>
        <c:axId val="532675448"/>
        <c:scaling>
          <c:orientation val="minMax"/>
          <c:max val="0.018"/>
          <c:min val="0.00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59491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3930525814894"/>
          <c:y val="0.901781528363807"/>
          <c:w val="0.674161313347609"/>
          <c:h val="0.09118612283169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345b54f-1e88-44cb-aede-919b0e1d8393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74515630571734"/>
          <c:y val="0.0383533623114293"/>
          <c:w val="0.877546653987876"/>
          <c:h val="0.619381232421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'[图4：上海清算所回购业务概况（单位：亿元） 202606.xlsx]Sheet1-每月回购情况'!$D$133</c:f>
              <c:strCache>
                <c:ptCount val="1"/>
                <c:pt idx="0">
                  <c:v>质押式回购（左轴）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'[图4：上海清算所回购业务概况（单位：亿元） 202606.xlsx]Sheet1-每月回购情况'!$B$209:$B$221</c:f>
              <c:numCache>
                <c:formatCode>yyyy"年"m"月"</c:formatCode>
                <c:ptCount val="13"/>
                <c:pt idx="0" c:formatCode="yyyy&quot;年&quot;m&quot;月&quot;">
                  <c:v>45813</c:v>
                </c:pt>
                <c:pt idx="1" c:formatCode="yyyy&quot;年&quot;m&quot;月&quot;">
                  <c:v>45844</c:v>
                </c:pt>
                <c:pt idx="2" c:formatCode="yyyy&quot;年&quot;m&quot;月&quot;">
                  <c:v>45876</c:v>
                </c:pt>
                <c:pt idx="3" c:formatCode="yyyy&quot;年&quot;m&quot;月&quot;">
                  <c:v>45908</c:v>
                </c:pt>
                <c:pt idx="4" c:formatCode="yyyy&quot;年&quot;m&quot;月&quot;">
                  <c:v>45939</c:v>
                </c:pt>
                <c:pt idx="5" c:formatCode="yyyy&quot;年&quot;m&quot;月&quot;">
                  <c:v>45971</c:v>
                </c:pt>
                <c:pt idx="6" c:formatCode="yyyy&quot;年&quot;m&quot;月&quot;">
                  <c:v>46002</c:v>
                </c:pt>
                <c:pt idx="7" c:formatCode="yyyy&quot;年&quot;m&quot;月&quot;">
                  <c:v>46034</c:v>
                </c:pt>
                <c:pt idx="8" c:formatCode="yyyy&quot;年&quot;m&quot;月&quot;">
                  <c:v>46066</c:v>
                </c:pt>
                <c:pt idx="9" c:formatCode="yyyy&quot;年&quot;m&quot;月&quot;">
                  <c:v>46095</c:v>
                </c:pt>
                <c:pt idx="10" c:formatCode="yyyy&quot;年&quot;m&quot;月&quot;">
                  <c:v>46127</c:v>
                </c:pt>
                <c:pt idx="11" c:formatCode="yyyy&quot;年&quot;m&quot;月&quot;">
                  <c:v>46158</c:v>
                </c:pt>
                <c:pt idx="12" c:formatCode="yyyy&quot;年&quot;m&quot;月&quot;">
                  <c:v>46190</c:v>
                </c:pt>
              </c:numCache>
            </c:numRef>
          </c:cat>
          <c:val>
            <c:numRef>
              <c:f>'[图4：上海清算所回购业务概况（单位：亿元） 202606.xlsx]Sheet1-每月回购情况'!$D$209:$D$221</c:f>
              <c:numCache>
                <c:formatCode>#,##0.00</c:formatCode>
                <c:ptCount val="13"/>
                <c:pt idx="0">
                  <c:v>20463.6926</c:v>
                </c:pt>
                <c:pt idx="1">
                  <c:v>19177.8239130435</c:v>
                </c:pt>
                <c:pt idx="2">
                  <c:v>18954.2054285714</c:v>
                </c:pt>
                <c:pt idx="3">
                  <c:v>17198.0779130435</c:v>
                </c:pt>
                <c:pt idx="4">
                  <c:v>19547.7299444444</c:v>
                </c:pt>
                <c:pt idx="5">
                  <c:v>19885.9743</c:v>
                </c:pt>
                <c:pt idx="6">
                  <c:v>22860.7019565217</c:v>
                </c:pt>
                <c:pt idx="7">
                  <c:v>23188.6771428571</c:v>
                </c:pt>
                <c:pt idx="8">
                  <c:v>21441.465125</c:v>
                </c:pt>
                <c:pt idx="9">
                  <c:v>25222.5766363636</c:v>
                </c:pt>
                <c:pt idx="10">
                  <c:v>27415.2463333333</c:v>
                </c:pt>
                <c:pt idx="11">
                  <c:v>22439.1138421053</c:v>
                </c:pt>
                <c:pt idx="12">
                  <c:v>18597.6076190476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5646896"/>
        <c:axId val="645646112"/>
      </c:barChart>
      <c:lineChart>
        <c:grouping val="standard"/>
        <c:varyColors val="0"/>
        <c:ser>
          <c:idx val="1"/>
          <c:order val="1"/>
          <c:tx>
            <c:strRef>
              <c:f>'[图4：上海清算所回购业务概况（单位：亿元） 202606.xlsx]Sheet1-每月回购情况'!$C$133</c:f>
              <c:strCache>
                <c:ptCount val="1"/>
                <c:pt idx="0">
                  <c:v>买断式回购（右轴）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numRef>
              <c:f>'[图4：上海清算所回购业务概况（单位：亿元） 202606.xlsx]Sheet1-每月回购情况'!$B$209:$B$221</c:f>
              <c:numCache>
                <c:formatCode>yyyy"年"m"月"</c:formatCode>
                <c:ptCount val="13"/>
                <c:pt idx="0" c:formatCode="yyyy&quot;年&quot;m&quot;月&quot;">
                  <c:v>45813</c:v>
                </c:pt>
                <c:pt idx="1" c:formatCode="yyyy&quot;年&quot;m&quot;月&quot;">
                  <c:v>45844</c:v>
                </c:pt>
                <c:pt idx="2" c:formatCode="yyyy&quot;年&quot;m&quot;月&quot;">
                  <c:v>45876</c:v>
                </c:pt>
                <c:pt idx="3" c:formatCode="yyyy&quot;年&quot;m&quot;月&quot;">
                  <c:v>45908</c:v>
                </c:pt>
                <c:pt idx="4" c:formatCode="yyyy&quot;年&quot;m&quot;月&quot;">
                  <c:v>45939</c:v>
                </c:pt>
                <c:pt idx="5" c:formatCode="yyyy&quot;年&quot;m&quot;月&quot;">
                  <c:v>45971</c:v>
                </c:pt>
                <c:pt idx="6" c:formatCode="yyyy&quot;年&quot;m&quot;月&quot;">
                  <c:v>46002</c:v>
                </c:pt>
                <c:pt idx="7" c:formatCode="yyyy&quot;年&quot;m&quot;月&quot;">
                  <c:v>46034</c:v>
                </c:pt>
                <c:pt idx="8" c:formatCode="yyyy&quot;年&quot;m&quot;月&quot;">
                  <c:v>46066</c:v>
                </c:pt>
                <c:pt idx="9" c:formatCode="yyyy&quot;年&quot;m&quot;月&quot;">
                  <c:v>46095</c:v>
                </c:pt>
                <c:pt idx="10" c:formatCode="yyyy&quot;年&quot;m&quot;月&quot;">
                  <c:v>46127</c:v>
                </c:pt>
                <c:pt idx="11" c:formatCode="yyyy&quot;年&quot;m&quot;月&quot;">
                  <c:v>46158</c:v>
                </c:pt>
                <c:pt idx="12" c:formatCode="yyyy&quot;年&quot;m&quot;月&quot;">
                  <c:v>46190</c:v>
                </c:pt>
              </c:numCache>
            </c:numRef>
          </c:cat>
          <c:val>
            <c:numRef>
              <c:f>'[图4：上海清算所回购业务概况（单位：亿元） 202606.xlsx]Sheet1-每月回购情况'!$C$209:$C$221</c:f>
              <c:numCache>
                <c:formatCode>#,##0.00</c:formatCode>
                <c:ptCount val="13"/>
                <c:pt idx="0">
                  <c:v>44.04095</c:v>
                </c:pt>
                <c:pt idx="1">
                  <c:v>30.8954347826087</c:v>
                </c:pt>
                <c:pt idx="2">
                  <c:v>37.1118095238095</c:v>
                </c:pt>
                <c:pt idx="3">
                  <c:v>31.445</c:v>
                </c:pt>
                <c:pt idx="4">
                  <c:v>44.9351111111111</c:v>
                </c:pt>
                <c:pt idx="5">
                  <c:v>32.49935</c:v>
                </c:pt>
                <c:pt idx="6">
                  <c:v>27.6025217391304</c:v>
                </c:pt>
                <c:pt idx="7">
                  <c:v>50.5788571428571</c:v>
                </c:pt>
                <c:pt idx="8">
                  <c:v>30.3559375</c:v>
                </c:pt>
                <c:pt idx="9">
                  <c:v>40.1296363636364</c:v>
                </c:pt>
                <c:pt idx="10">
                  <c:v>53.0976666666667</c:v>
                </c:pt>
                <c:pt idx="11">
                  <c:v>41.2187368421053</c:v>
                </c:pt>
                <c:pt idx="12">
                  <c:v>27.522380952381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351623136"/>
        <c:axId val="645646504"/>
      </c:lineChart>
      <c:dateAx>
        <c:axId val="645646896"/>
        <c:scaling>
          <c:orientation val="minMax"/>
        </c:scaling>
        <c:delete val="0"/>
        <c:axPos val="b"/>
        <c:numFmt formatCode="yyyy&quot;年&quot;m&quot;月&quot;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45646112"/>
        <c:crosses val="autoZero"/>
        <c:auto val="1"/>
        <c:lblOffset val="100"/>
        <c:baseTimeUnit val="months"/>
      </c:dateAx>
      <c:valAx>
        <c:axId val="64564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45646896"/>
        <c:crosses val="autoZero"/>
        <c:crossBetween val="between"/>
      </c:valAx>
      <c:dateAx>
        <c:axId val="351623136"/>
        <c:scaling>
          <c:orientation val="minMax"/>
        </c:scaling>
        <c:delete val="1"/>
        <c:axPos val="b"/>
        <c:numFmt formatCode="yyyy&quot;年&quot;m&quot;月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45646504"/>
        <c:crosses val="autoZero"/>
        <c:auto val="1"/>
        <c:lblOffset val="100"/>
        <c:baseTimeUnit val="months"/>
      </c:dateAx>
      <c:valAx>
        <c:axId val="645646504"/>
        <c:scaling>
          <c:orientation val="minMax"/>
        </c:scaling>
        <c:delete val="0"/>
        <c:axPos val="r"/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51623136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7302983477951"/>
          <c:y val="0.930708258757351"/>
          <c:w val="0.746463806014501"/>
          <c:h val="0.06162106878036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259fa64-35be-449a-8c81-f1336267a19d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7688246735204"/>
          <c:y val="0.140063578564941"/>
          <c:w val="0.484623506529592"/>
          <c:h val="0.792079927338783"/>
        </c:manualLayout>
      </c:layout>
      <c:pieChart>
        <c:varyColors val="1"/>
        <c:ser>
          <c:idx val="0"/>
          <c:order val="0"/>
          <c:tx>
            <c:strRef>
              <c:f>'[图7：清算所债务投资者持有结构情况 202606.xlsx]sheet1'!$D$18</c:f>
              <c:strCache>
                <c:ptCount val="1"/>
                <c:pt idx="0">
                  <c:v>托管总量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286603155727507"/>
                  <c:y val="0.04609445958219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ea"/>
                        <a:ea typeface="+mn-ea"/>
                        <a:cs typeface="+mn-cs"/>
                      </a:defRPr>
                    </a:pPr>
                    <a:r>
                      <a:t>政策性银行2.26%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518696343365351"/>
                  <c:y val="0.013480532395811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58724569328117"/>
                  <c:y val="-0.0532577886502338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ea"/>
                      <a:ea typeface="+mn-ea"/>
                      <a:cs typeface="+mn-cs"/>
                    </a:defRPr>
                  </a:pPr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4724599315406"/>
                      <c:h val="0.163915553475541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0166008311461067"/>
                  <c:y val="0.057093904928550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103609317824038"/>
                  <c:y val="-0.037605469396543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0.199705975885395"/>
                  <c:y val="0.026728629951742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ea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'[图7：清算所债务投资者持有结构情况 202606.xlsx]sheet1'!$C$19:$C$24</c:f>
              <c:strCache>
                <c:ptCount val="6"/>
                <c:pt idx="0">
                  <c:v>政策性银行
</c:v>
                </c:pt>
                <c:pt idx="1">
                  <c:v>存款类金融机构</c:v>
                </c:pt>
                <c:pt idx="2">
                  <c:v>非银行类金融机构</c:v>
                </c:pt>
                <c:pt idx="4">
                  <c:v>非法人类产品</c:v>
                </c:pt>
                <c:pt idx="5">
                  <c:v>其他投资者</c:v>
                </c:pt>
              </c:strCache>
            </c:strRef>
          </c:cat>
          <c:val>
            <c:numRef>
              <c:f>'[图7：清算所债务投资者持有结构情况 202606.xlsx]sheet1'!$D$19:$D$24</c:f>
              <c:numCache>
                <c:formatCode>0.00_);[Red]\(0.00\)</c:formatCode>
                <c:ptCount val="6"/>
                <c:pt idx="0">
                  <c:v>11585.2705</c:v>
                </c:pt>
                <c:pt idx="1">
                  <c:v>156505.791111</c:v>
                </c:pt>
                <c:pt idx="2">
                  <c:v>29525.3410845698</c:v>
                </c:pt>
                <c:pt idx="4">
                  <c:v>296851.971762324</c:v>
                </c:pt>
                <c:pt idx="5">
                  <c:v>17338.724949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f5ffe94-d1e8-4e54-adc3-9a20f2273e7a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'[图8：清算所债务融资工具投资者持有结构 202608.xlsx]Sheet2-投资者持有结构'!$B$188</c:f>
              <c:strCache>
                <c:ptCount val="1"/>
                <c:pt idx="0">
                  <c:v>2025Q4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'[图8：清算所债务融资工具投资者持有结构 202608.xlsx]Sheet2-投资者持有结构'!$A$189:$A$193</c:f>
              <c:strCache>
                <c:ptCount val="5"/>
                <c:pt idx="0">
                  <c:v>政策性银行</c:v>
                </c:pt>
                <c:pt idx="1">
                  <c:v>其他投资者</c:v>
                </c:pt>
                <c:pt idx="2">
                  <c:v>非银行类金融机构</c:v>
                </c:pt>
                <c:pt idx="3">
                  <c:v>存款类金融机构</c:v>
                </c:pt>
                <c:pt idx="4">
                  <c:v>非法人类产品</c:v>
                </c:pt>
              </c:strCache>
            </c:strRef>
          </c:cat>
          <c:val>
            <c:numRef>
              <c:f>'[图8：清算所债务融资工具投资者持有结构 202608.xlsx]Sheet2-投资者持有结构'!$B$189:$B$193</c:f>
              <c:numCache>
                <c:formatCode>0.00_);[Red]\(0.00\)</c:formatCode>
                <c:ptCount val="5"/>
                <c:pt idx="0">
                  <c:v>1.04245105</c:v>
                </c:pt>
                <c:pt idx="1">
                  <c:v>1.9745733497</c:v>
                </c:pt>
                <c:pt idx="2">
                  <c:v>2.91220149742413</c:v>
                </c:pt>
                <c:pt idx="3">
                  <c:v>13.6147427743</c:v>
                </c:pt>
                <c:pt idx="4">
                  <c:v>29.5871150062324</c:v>
                </c:pt>
              </c:numCache>
            </c:numRef>
          </c:val>
        </c:ser>
        <c:ser>
          <c:idx val="1"/>
          <c:order val="1"/>
          <c:tx>
            <c:strRef>
              <c:f>'[图8：清算所债务融资工具投资者持有结构 202608.xlsx]Sheet2-投资者持有结构'!$C$188</c:f>
              <c:strCache>
                <c:ptCount val="1"/>
                <c:pt idx="0">
                  <c:v>2026Q1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'[图8：清算所债务融资工具投资者持有结构 202608.xlsx]Sheet2-投资者持有结构'!$A$189:$A$193</c:f>
              <c:strCache>
                <c:ptCount val="5"/>
                <c:pt idx="0">
                  <c:v>政策性银行</c:v>
                </c:pt>
                <c:pt idx="1">
                  <c:v>其他投资者</c:v>
                </c:pt>
                <c:pt idx="2">
                  <c:v>非银行类金融机构</c:v>
                </c:pt>
                <c:pt idx="3">
                  <c:v>存款类金融机构</c:v>
                </c:pt>
                <c:pt idx="4">
                  <c:v>非法人类产品</c:v>
                </c:pt>
              </c:strCache>
            </c:strRef>
          </c:cat>
          <c:val>
            <c:numRef>
              <c:f>'[图8：清算所债务融资工具投资者持有结构 202608.xlsx]Sheet2-投资者持有结构'!$C$189:$C$193</c:f>
              <c:numCache>
                <c:formatCode>General</c:formatCode>
                <c:ptCount val="5"/>
                <c:pt idx="0">
                  <c:v>1.099272</c:v>
                </c:pt>
                <c:pt idx="1">
                  <c:v>1.791044</c:v>
                </c:pt>
                <c:pt idx="2">
                  <c:v>2.772867</c:v>
                </c:pt>
                <c:pt idx="3">
                  <c:v>14.222936</c:v>
                </c:pt>
                <c:pt idx="4">
                  <c:v>28.924185</c:v>
                </c:pt>
              </c:numCache>
            </c:numRef>
          </c:val>
        </c:ser>
        <c:ser>
          <c:idx val="2"/>
          <c:order val="2"/>
          <c:tx>
            <c:strRef>
              <c:f>'[图8：清算所债务融资工具投资者持有结构 202608.xlsx]Sheet2-投资者持有结构'!$D$188</c:f>
              <c:strCache>
                <c:ptCount val="1"/>
                <c:pt idx="0">
                  <c:v>2026Q2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'[图8：清算所债务融资工具投资者持有结构 202608.xlsx]Sheet2-投资者持有结构'!$A$189:$A$193</c:f>
              <c:strCache>
                <c:ptCount val="5"/>
                <c:pt idx="0">
                  <c:v>政策性银行</c:v>
                </c:pt>
                <c:pt idx="1">
                  <c:v>其他投资者</c:v>
                </c:pt>
                <c:pt idx="2">
                  <c:v>非银行类金融机构</c:v>
                </c:pt>
                <c:pt idx="3">
                  <c:v>存款类金融机构</c:v>
                </c:pt>
                <c:pt idx="4">
                  <c:v>非法人类产品</c:v>
                </c:pt>
              </c:strCache>
            </c:strRef>
          </c:cat>
          <c:val>
            <c:numRef>
              <c:f>'[图8：清算所债务融资工具投资者持有结构 202608.xlsx]Sheet2-投资者持有结构'!$D$189:$D$193</c:f>
              <c:numCache>
                <c:formatCode>#0.00</c:formatCode>
                <c:ptCount val="5"/>
                <c:pt idx="0">
                  <c:v>1.15852705</c:v>
                </c:pt>
                <c:pt idx="1">
                  <c:v>1.7338724949</c:v>
                </c:pt>
                <c:pt idx="2">
                  <c:v>2.95253410845698</c:v>
                </c:pt>
                <c:pt idx="3">
                  <c:v>15.6505791111</c:v>
                </c:pt>
                <c:pt idx="4">
                  <c:v>29.6851971762324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0"/>
        <c:axId val="119285397"/>
        <c:axId val="891592571"/>
      </c:barChart>
      <c:catAx>
        <c:axId val="119285397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91592571"/>
        <c:crosses val="autoZero"/>
        <c:auto val="1"/>
        <c:lblAlgn val="ctr"/>
        <c:lblOffset val="100"/>
        <c:noMultiLvlLbl val="0"/>
      </c:catAx>
      <c:valAx>
        <c:axId val="8915925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_);[Red]\(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928539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2288323870649"/>
          <c:y val="0.90467211397444"/>
          <c:w val="0.538138731177487"/>
          <c:h val="0.08904253090299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707c653-c185-467f-8b86-475406adb2d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6CB896-E564-426F-9FE8-9AC1CABF70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2871</Words>
  <Characters>4011</Characters>
  <Lines>33</Lines>
  <Paragraphs>9</Paragraphs>
  <TotalTime>5</TotalTime>
  <ScaleCrop>false</ScaleCrop>
  <LinksUpToDate>false</LinksUpToDate>
  <CharactersWithSpaces>4268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2026-01-30T03:19:00Z</dcterms:created>
  <dc:creator>陈宗涵</dc:creator>
  <cp:lastModifiedBy>wengrunlai</cp:lastModifiedBy>
  <cp:lastPrinted>2026-07-27T01:19:00Z</cp:lastPrinted>
  <dcterms:modified xsi:type="dcterms:W3CDTF">2026-08-06T09:34:53Z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56EF6C544DF23F9FD20A706A7B593E2D_43</vt:lpwstr>
  </property>
</Properties>
</file>