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68984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3145948C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5A6DCF33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5CC95D5A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340F2A06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44CC0A56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7F465841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sz w:val="44"/>
          <w:szCs w:val="44"/>
          <w:lang w:bidi="ar"/>
        </w:rPr>
        <w:t>上海清算所集中</w:t>
      </w:r>
      <w:r>
        <w:rPr>
          <w:rFonts w:ascii="宋体" w:hAnsi="宋体" w:eastAsia="宋体" w:cs="宋体"/>
          <w:b/>
          <w:sz w:val="44"/>
          <w:szCs w:val="44"/>
          <w:lang w:bidi="ar"/>
        </w:rPr>
        <w:t>清算</w:t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业务运行分析</w:t>
      </w:r>
    </w:p>
    <w:p w14:paraId="48B4A482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sz w:val="44"/>
          <w:szCs w:val="44"/>
          <w:lang w:bidi="ar"/>
        </w:rPr>
        <w:t>（</w:t>
      </w:r>
      <w:r>
        <w:rPr>
          <w:rFonts w:ascii="宋体" w:hAnsi="宋体" w:eastAsia="宋体" w:cs="宋体"/>
          <w:b/>
          <w:sz w:val="44"/>
          <w:szCs w:val="44"/>
          <w:lang w:bidi="ar"/>
        </w:rPr>
        <w:t>202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年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月）</w:t>
      </w:r>
    </w:p>
    <w:p w14:paraId="5517E279">
      <w:pPr>
        <w:spacing w:line="580" w:lineRule="exact"/>
        <w:jc w:val="center"/>
        <w:rPr>
          <w:rFonts w:ascii="宋体" w:hAnsi="宋体" w:eastAsia="宋体" w:cs="宋体"/>
          <w:b/>
          <w:sz w:val="40"/>
          <w:szCs w:val="44"/>
          <w:lang w:bidi="ar"/>
        </w:rPr>
      </w:pPr>
    </w:p>
    <w:p w14:paraId="10580E3B">
      <w:pPr>
        <w:spacing w:before="200" w:after="240" w:line="580" w:lineRule="exact"/>
        <w:jc w:val="center"/>
        <w:outlineLvl w:val="0"/>
        <w:rPr>
          <w:rFonts w:ascii="仿宋" w:hAnsi="仿宋" w:eastAsia="仿宋" w:cs="Times New Roman"/>
          <w:b/>
          <w:bCs/>
          <w:kern w:val="44"/>
          <w:sz w:val="32"/>
          <w:szCs w:val="30"/>
        </w:rPr>
      </w:pPr>
      <w:r>
        <w:rPr>
          <w:rFonts w:hint="eastAsia" w:ascii="仿宋" w:hAnsi="仿宋" w:eastAsia="仿宋" w:cs="Times New Roman"/>
          <w:b/>
          <w:bCs/>
          <w:kern w:val="44"/>
          <w:sz w:val="32"/>
          <w:szCs w:val="30"/>
        </w:rPr>
        <w:t>摘</w:t>
      </w:r>
      <w:r>
        <w:rPr>
          <w:rFonts w:ascii="仿宋" w:hAnsi="仿宋" w:eastAsia="仿宋" w:cs="Times New Roman"/>
          <w:b/>
          <w:bCs/>
          <w:kern w:val="44"/>
          <w:sz w:val="32"/>
          <w:szCs w:val="30"/>
        </w:rPr>
        <w:t xml:space="preserve">  </w:t>
      </w:r>
      <w:r>
        <w:rPr>
          <w:rFonts w:hint="eastAsia" w:ascii="仿宋" w:hAnsi="仿宋" w:eastAsia="仿宋" w:cs="Times New Roman"/>
          <w:b/>
          <w:bCs/>
          <w:kern w:val="44"/>
          <w:sz w:val="32"/>
          <w:szCs w:val="30"/>
        </w:rPr>
        <w:t>要</w:t>
      </w:r>
    </w:p>
    <w:p w14:paraId="1D26B1D8">
      <w:pPr>
        <w:pStyle w:val="19"/>
        <w:numPr>
          <w:ilvl w:val="0"/>
          <w:numId w:val="1"/>
        </w:numPr>
        <w:adjustRightInd w:val="0"/>
        <w:snapToGri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ascii="仿宋" w:hAnsi="仿宋" w:eastAsia="仿宋" w:cs="Times New Roman"/>
          <w:sz w:val="32"/>
          <w:szCs w:val="32"/>
        </w:rPr>
        <w:t>上海清算所集中清算业务</w:t>
      </w:r>
      <w:r>
        <w:rPr>
          <w:rStyle w:val="14"/>
          <w:rFonts w:ascii="仿宋" w:hAnsi="仿宋" w:eastAsia="仿宋"/>
          <w:sz w:val="32"/>
          <w:szCs w:val="32"/>
        </w:rPr>
        <w:footnoteReference w:id="0"/>
      </w:r>
      <w:r>
        <w:rPr>
          <w:rFonts w:ascii="仿宋" w:hAnsi="仿宋" w:eastAsia="仿宋" w:cs="Times New Roman"/>
          <w:sz w:val="32"/>
          <w:szCs w:val="32"/>
        </w:rPr>
        <w:t>规模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76.1</w:t>
      </w:r>
      <w:r>
        <w:rPr>
          <w:rFonts w:ascii="仿宋" w:hAnsi="仿宋" w:eastAsia="仿宋" w:cs="Times New Roman"/>
          <w:sz w:val="32"/>
          <w:szCs w:val="32"/>
        </w:rPr>
        <w:t>万亿元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其中</w:t>
      </w:r>
      <w:r>
        <w:rPr>
          <w:rFonts w:ascii="仿宋" w:hAnsi="仿宋" w:eastAsia="仿宋" w:cs="Times New Roman"/>
          <w:sz w:val="32"/>
          <w:szCs w:val="32"/>
        </w:rPr>
        <w:t>中央对手清算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27.5</w:t>
      </w:r>
      <w:r>
        <w:rPr>
          <w:rFonts w:hint="eastAsia" w:ascii="仿宋" w:hAnsi="仿宋" w:eastAsia="仿宋" w:cs="Times New Roman"/>
          <w:sz w:val="32"/>
          <w:szCs w:val="32"/>
        </w:rPr>
        <w:t>万亿元，</w:t>
      </w:r>
      <w:r>
        <w:rPr>
          <w:rFonts w:hint="eastAsia" w:ascii="仿宋" w:hAnsi="仿宋" w:eastAsia="仿宋" w:cs="Times New Roman"/>
          <w:sz w:val="32"/>
          <w:szCs w:val="30"/>
        </w:rPr>
        <w:t>同比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分别</w:t>
      </w:r>
      <w:r>
        <w:rPr>
          <w:rFonts w:hint="eastAsia" w:ascii="仿宋" w:hAnsi="仿宋" w:eastAsia="仿宋" w:cs="Times New Roman"/>
          <w:sz w:val="32"/>
          <w:szCs w:val="30"/>
        </w:rPr>
        <w:t>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3.9</w:t>
      </w:r>
      <w:r>
        <w:rPr>
          <w:rFonts w:hint="eastAsia" w:ascii="仿宋" w:hAnsi="仿宋" w:eastAsia="仿宋" w:cs="Times New Roman"/>
          <w:sz w:val="32"/>
          <w:szCs w:val="30"/>
        </w:rPr>
        <w:t>%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20.1%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ascii="仿宋" w:hAnsi="仿宋" w:eastAsia="仿宋" w:cs="Times New Roman"/>
          <w:sz w:val="32"/>
          <w:szCs w:val="32"/>
        </w:rPr>
        <w:t>集中清算业务总规模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469.4</w:t>
      </w:r>
      <w:r>
        <w:rPr>
          <w:rFonts w:ascii="仿宋" w:hAnsi="仿宋" w:eastAsia="仿宋" w:cs="Times New Roman"/>
          <w:sz w:val="32"/>
          <w:szCs w:val="32"/>
        </w:rPr>
        <w:t>万亿元</w:t>
      </w:r>
      <w:r>
        <w:rPr>
          <w:rFonts w:hint="eastAsia" w:ascii="仿宋" w:hAnsi="仿宋" w:eastAsia="仿宋" w:cs="Times New Roman"/>
          <w:sz w:val="32"/>
          <w:szCs w:val="32"/>
        </w:rPr>
        <w:t>，其中</w:t>
      </w:r>
      <w:r>
        <w:rPr>
          <w:rFonts w:ascii="仿宋" w:hAnsi="仿宋" w:eastAsia="仿宋" w:cs="Times New Roman"/>
          <w:sz w:val="32"/>
          <w:szCs w:val="32"/>
        </w:rPr>
        <w:t>中央对手清算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156.1</w:t>
      </w:r>
      <w:r>
        <w:rPr>
          <w:rFonts w:hint="eastAsia" w:ascii="仿宋" w:hAnsi="仿宋" w:eastAsia="仿宋" w:cs="Times New Roman"/>
          <w:sz w:val="32"/>
          <w:szCs w:val="32"/>
        </w:rPr>
        <w:t>万亿元</w:t>
      </w:r>
      <w:r>
        <w:rPr>
          <w:rFonts w:hint="eastAsia" w:ascii="仿宋" w:hAnsi="仿宋" w:eastAsia="仿宋" w:cs="Times New Roman"/>
          <w:sz w:val="32"/>
          <w:szCs w:val="30"/>
        </w:rPr>
        <w:t>，同比分别增长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24.2</w:t>
      </w:r>
      <w:r>
        <w:rPr>
          <w:rFonts w:hint="eastAsia" w:ascii="仿宋" w:hAnsi="仿宋" w:eastAsia="仿宋" w:cs="Times New Roman"/>
          <w:sz w:val="32"/>
          <w:szCs w:val="30"/>
        </w:rPr>
        <w:t>%和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22.8</w:t>
      </w:r>
      <w:r>
        <w:rPr>
          <w:rFonts w:hint="eastAsia" w:ascii="仿宋" w:hAnsi="仿宋" w:eastAsia="仿宋" w:cs="Times New Roman"/>
          <w:sz w:val="32"/>
          <w:szCs w:val="30"/>
        </w:rPr>
        <w:t>%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70817F16">
      <w:pPr>
        <w:pStyle w:val="19"/>
        <w:numPr>
          <w:ilvl w:val="0"/>
          <w:numId w:val="1"/>
        </w:numPr>
        <w:adjustRightInd w:val="0"/>
        <w:snapToGri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月，通过综合清算会员代理的中央对手清算规模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  <w:t>4.2</w:t>
      </w:r>
      <w:r>
        <w:rPr>
          <w:rFonts w:hint="eastAsia" w:ascii="仿宋" w:hAnsi="仿宋" w:eastAsia="仿宋" w:cs="Times New Roman"/>
          <w:sz w:val="32"/>
          <w:szCs w:val="32"/>
        </w:rPr>
        <w:t>万亿元。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2"/>
        </w:rPr>
        <w:t>，代理清算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合计</w:t>
      </w:r>
      <w:r>
        <w:rPr>
          <w:rFonts w:ascii="仿宋" w:hAnsi="仿宋" w:eastAsia="仿宋" w:cs="Times New Roman"/>
          <w:sz w:val="32"/>
          <w:szCs w:val="32"/>
        </w:rPr>
        <w:t>规模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23.8</w:t>
      </w:r>
      <w:r>
        <w:rPr>
          <w:rFonts w:hint="eastAsia" w:ascii="仿宋" w:hAnsi="仿宋" w:eastAsia="仿宋" w:cs="Times New Roman"/>
          <w:sz w:val="32"/>
          <w:szCs w:val="32"/>
        </w:rPr>
        <w:t>万亿元，代理清算占比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7.6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Style w:val="14"/>
          <w:rFonts w:ascii="仿宋" w:hAnsi="仿宋" w:eastAsia="仿宋"/>
          <w:sz w:val="32"/>
          <w:szCs w:val="32"/>
        </w:rPr>
        <w:footnoteReference w:id="1"/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32F5641B">
      <w:pPr>
        <w:pStyle w:val="19"/>
        <w:widowControl/>
        <w:numPr>
          <w:ilvl w:val="0"/>
          <w:numId w:val="1"/>
        </w:numPr>
        <w:adjustRightInd w:val="0"/>
        <w:snapToGri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截至</w:t>
      </w:r>
      <w:r>
        <w:rPr>
          <w:rFonts w:ascii="仿宋" w:hAnsi="仿宋" w:eastAsia="仿宋" w:cs="Times New Roman"/>
          <w:sz w:val="32"/>
          <w:szCs w:val="32"/>
        </w:rPr>
        <w:t>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2"/>
        </w:rPr>
        <w:t>末</w:t>
      </w:r>
      <w:r>
        <w:rPr>
          <w:rFonts w:hint="eastAsia" w:ascii="仿宋" w:hAnsi="仿宋" w:eastAsia="仿宋" w:cs="Times New Roman"/>
          <w:sz w:val="32"/>
          <w:szCs w:val="30"/>
        </w:rPr>
        <w:t>，纳入</w:t>
      </w:r>
      <w:r>
        <w:rPr>
          <w:rFonts w:ascii="仿宋" w:hAnsi="仿宋" w:eastAsia="仿宋" w:cs="Times New Roman"/>
          <w:sz w:val="32"/>
          <w:szCs w:val="30"/>
        </w:rPr>
        <w:t>中央对手清算的</w:t>
      </w:r>
      <w:r>
        <w:rPr>
          <w:rFonts w:hint="eastAsia" w:ascii="仿宋" w:hAnsi="仿宋" w:eastAsia="仿宋" w:cs="Times New Roman"/>
          <w:sz w:val="32"/>
          <w:szCs w:val="30"/>
        </w:rPr>
        <w:t>产品存续规模</w:t>
      </w:r>
      <w:r>
        <w:rPr>
          <w:rStyle w:val="14"/>
          <w:rFonts w:ascii="仿宋" w:hAnsi="仿宋" w:eastAsia="仿宋"/>
          <w:sz w:val="32"/>
          <w:szCs w:val="30"/>
        </w:rPr>
        <w:footnoteReference w:id="2"/>
      </w:r>
      <w:r>
        <w:rPr>
          <w:rFonts w:hint="eastAsia" w:ascii="仿宋" w:hAnsi="仿宋" w:eastAsia="仿宋" w:cs="Times New Roman"/>
          <w:sz w:val="32"/>
          <w:szCs w:val="30"/>
        </w:rPr>
        <w:t>合计</w:t>
      </w:r>
      <w:r>
        <w:rPr>
          <w:rFonts w:hint="eastAsia" w:ascii="仿宋" w:hAnsi="仿宋" w:eastAsia="仿宋" w:cs="Times New Roman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61.2</w:t>
      </w:r>
      <w:r>
        <w:rPr>
          <w:rFonts w:hint="eastAsia" w:ascii="仿宋" w:hAnsi="仿宋" w:eastAsia="仿宋" w:cs="Times New Roman"/>
          <w:sz w:val="32"/>
          <w:szCs w:val="30"/>
        </w:rPr>
        <w:t>万亿元，同比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下降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3.5</w:t>
      </w:r>
      <w:r>
        <w:rPr>
          <w:rFonts w:hint="eastAsia" w:ascii="仿宋" w:hAnsi="仿宋" w:eastAsia="仿宋" w:cs="Times New Roman"/>
          <w:sz w:val="32"/>
          <w:szCs w:val="30"/>
        </w:rPr>
        <w:t>%。</w:t>
      </w:r>
    </w:p>
    <w:p w14:paraId="0B0E360E">
      <w:pPr>
        <w:pStyle w:val="2"/>
        <w:numPr>
          <w:ilvl w:val="0"/>
          <w:numId w:val="2"/>
        </w:numPr>
        <w:adjustRightInd w:val="0"/>
        <w:snapToGrid w:val="0"/>
        <w:spacing w:before="0" w:after="0" w:line="580" w:lineRule="exact"/>
        <w:rPr>
          <w:rFonts w:ascii="黑体" w:hAnsi="黑体" w:cs="Times New Roman"/>
          <w:szCs w:val="30"/>
        </w:rPr>
      </w:pPr>
      <w:r>
        <w:rPr>
          <w:rFonts w:hint="eastAsia" w:ascii="黑体" w:hAnsi="黑体" w:cs="Times New Roman"/>
          <w:szCs w:val="30"/>
        </w:rPr>
        <w:t>集中清算业务概览</w:t>
      </w:r>
    </w:p>
    <w:p w14:paraId="3BD3FCBD"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月，上海清算所集中清算业务规模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76.1</w:t>
      </w:r>
      <w:r>
        <w:rPr>
          <w:rFonts w:hint="eastAsia" w:ascii="仿宋" w:hAnsi="仿宋" w:eastAsia="仿宋" w:cs="Times New Roman"/>
          <w:sz w:val="32"/>
          <w:szCs w:val="30"/>
        </w:rPr>
        <w:t>万亿元，同比增长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3.9</w:t>
      </w:r>
      <w:r>
        <w:rPr>
          <w:rFonts w:hint="eastAsia" w:ascii="仿宋" w:hAnsi="仿宋" w:eastAsia="仿宋" w:cs="Times New Roman"/>
          <w:sz w:val="32"/>
          <w:szCs w:val="30"/>
        </w:rPr>
        <w:t>%。其中，中央对手清算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27.5</w:t>
      </w:r>
      <w:r>
        <w:rPr>
          <w:rFonts w:hint="eastAsia" w:ascii="仿宋" w:hAnsi="仿宋" w:eastAsia="仿宋" w:cs="Times New Roman"/>
          <w:sz w:val="32"/>
          <w:szCs w:val="30"/>
        </w:rPr>
        <w:t>万亿元，其他集中清算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48.6</w:t>
      </w:r>
      <w:r>
        <w:rPr>
          <w:rFonts w:hint="eastAsia" w:ascii="仿宋" w:hAnsi="仿宋" w:eastAsia="仿宋" w:cs="Times New Roman"/>
          <w:sz w:val="32"/>
          <w:szCs w:val="30"/>
        </w:rPr>
        <w:t>万亿元。</w:t>
      </w:r>
    </w:p>
    <w:p w14:paraId="32F110B7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，集中清算</w:t>
      </w:r>
      <w:r>
        <w:rPr>
          <w:rFonts w:ascii="仿宋" w:hAnsi="仿宋" w:eastAsia="仿宋" w:cs="Times New Roman"/>
          <w:sz w:val="32"/>
          <w:szCs w:val="32"/>
        </w:rPr>
        <w:t>业务总规模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469.4</w:t>
      </w:r>
      <w:r>
        <w:rPr>
          <w:rFonts w:hint="eastAsia" w:ascii="仿宋" w:hAnsi="仿宋" w:eastAsia="仿宋" w:cs="Times New Roman"/>
          <w:sz w:val="32"/>
          <w:szCs w:val="30"/>
        </w:rPr>
        <w:t>万亿元，同比增长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24.2</w:t>
      </w:r>
      <w:r>
        <w:rPr>
          <w:rFonts w:hint="eastAsia" w:ascii="仿宋" w:hAnsi="仿宋" w:eastAsia="仿宋" w:cs="Times New Roman"/>
          <w:sz w:val="32"/>
          <w:szCs w:val="30"/>
        </w:rPr>
        <w:t>%。其中，中央对手清算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156.1</w:t>
      </w:r>
      <w:r>
        <w:rPr>
          <w:rFonts w:hint="eastAsia" w:ascii="仿宋" w:hAnsi="仿宋" w:eastAsia="仿宋" w:cs="Times New Roman"/>
          <w:sz w:val="32"/>
          <w:szCs w:val="30"/>
        </w:rPr>
        <w:t>万亿元，其他集中清算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313.3</w:t>
      </w:r>
      <w:r>
        <w:rPr>
          <w:rFonts w:hint="eastAsia" w:ascii="仿宋" w:hAnsi="仿宋" w:eastAsia="仿宋" w:cs="Times New Roman"/>
          <w:sz w:val="32"/>
          <w:szCs w:val="30"/>
        </w:rPr>
        <w:t>万亿元，同比分别增长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22.8</w:t>
      </w:r>
      <w:r>
        <w:rPr>
          <w:rFonts w:hint="eastAsia" w:ascii="仿宋" w:hAnsi="仿宋" w:eastAsia="仿宋" w:cs="Times New Roman"/>
          <w:sz w:val="32"/>
          <w:szCs w:val="30"/>
        </w:rPr>
        <w:t>%和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24.9</w:t>
      </w:r>
      <w:r>
        <w:rPr>
          <w:rFonts w:hint="eastAsia" w:ascii="仿宋" w:hAnsi="仿宋" w:eastAsia="仿宋" w:cs="Times New Roman"/>
          <w:sz w:val="32"/>
          <w:szCs w:val="30"/>
        </w:rPr>
        <w:t>%。</w:t>
      </w:r>
    </w:p>
    <w:p w14:paraId="18358376">
      <w:pPr>
        <w:jc w:val="center"/>
        <w:rPr>
          <w:rFonts w:ascii="仿宋" w:hAnsi="仿宋" w:eastAsia="仿宋" w:cs="Times New Roman"/>
          <w:sz w:val="30"/>
          <w:szCs w:val="30"/>
        </w:rPr>
      </w:pPr>
      <w:r>
        <w:drawing>
          <wp:inline distT="0" distB="0" distL="114300" distR="114300">
            <wp:extent cx="5541645" cy="2435860"/>
            <wp:effectExtent l="0" t="0" r="190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AC783">
      <w:pPr>
        <w:pStyle w:val="19"/>
        <w:adjustRightInd w:val="0"/>
        <w:snapToGrid w:val="0"/>
        <w:spacing w:line="400" w:lineRule="exact"/>
        <w:ind w:firstLine="0" w:firstLineChars="0"/>
        <w:jc w:val="center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 xml:space="preserve">图1 </w:t>
      </w:r>
      <w:r>
        <w:rPr>
          <w:rFonts w:hint="eastAsia" w:ascii="仿宋" w:hAnsi="仿宋" w:eastAsia="仿宋"/>
          <w:sz w:val="28"/>
        </w:rPr>
        <w:t>近一年集中清算业务</w:t>
      </w:r>
      <w:r>
        <w:rPr>
          <w:rFonts w:hint="eastAsia" w:ascii="Times New Roman" w:hAnsi="Times New Roman" w:eastAsia="仿宋" w:cs="Times New Roman"/>
          <w:sz w:val="28"/>
          <w:szCs w:val="30"/>
        </w:rPr>
        <w:t>规模月度变化</w:t>
      </w:r>
    </w:p>
    <w:p w14:paraId="4D84B02D">
      <w:pPr>
        <w:pStyle w:val="3"/>
        <w:numPr>
          <w:ilvl w:val="0"/>
          <w:numId w:val="3"/>
        </w:numPr>
        <w:adjustRightInd w:val="0"/>
        <w:snapToGrid w:val="0"/>
        <w:spacing w:line="580" w:lineRule="exact"/>
        <w:rPr>
          <w:rFonts w:ascii="楷体" w:hAnsi="楷体" w:eastAsia="楷体"/>
          <w:b w:val="0"/>
          <w:sz w:val="32"/>
        </w:rPr>
      </w:pPr>
      <w:r>
        <w:rPr>
          <w:rFonts w:hint="eastAsia" w:ascii="楷体" w:hAnsi="楷体" w:eastAsia="楷体" w:cs="Times New Roman"/>
          <w:b w:val="0"/>
          <w:sz w:val="32"/>
        </w:rPr>
        <w:t>中央对手清算业务概览</w:t>
      </w:r>
    </w:p>
    <w:p w14:paraId="75EBFF86">
      <w:pPr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28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月，上海清算所债券中央对手清算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3.56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利率衍生品中央对手清算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7.65</w:t>
      </w:r>
      <w:r>
        <w:rPr>
          <w:rFonts w:hint="eastAsia" w:ascii="仿宋" w:hAnsi="仿宋" w:eastAsia="仿宋" w:cs="Times New Roman"/>
          <w:sz w:val="32"/>
          <w:szCs w:val="30"/>
        </w:rPr>
        <w:t>万亿元，外汇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16.3</w:t>
      </w:r>
      <w:r>
        <w:rPr>
          <w:rFonts w:hint="eastAsia" w:ascii="仿宋" w:hAnsi="仿宋" w:eastAsia="仿宋" w:cs="Times New Roman"/>
          <w:sz w:val="32"/>
          <w:szCs w:val="30"/>
        </w:rPr>
        <w:t>万亿元，大宗商品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衍生品</w:t>
      </w:r>
      <w:r>
        <w:rPr>
          <w:rFonts w:hint="eastAsia"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31.34</w:t>
      </w:r>
      <w:r>
        <w:rPr>
          <w:rFonts w:hint="eastAsia" w:ascii="仿宋" w:hAnsi="仿宋" w:eastAsia="仿宋" w:cs="Times New Roman"/>
          <w:sz w:val="32"/>
          <w:szCs w:val="30"/>
        </w:rPr>
        <w:t>亿元，信用衍生品清算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6.5</w:t>
      </w:r>
      <w:r>
        <w:rPr>
          <w:rFonts w:hint="eastAsia" w:ascii="仿宋" w:hAnsi="仿宋" w:eastAsia="仿宋" w:cs="Times New Roman"/>
          <w:sz w:val="32"/>
          <w:szCs w:val="30"/>
        </w:rPr>
        <w:t>亿元。从参与方式看，当月通过综合清算会员代理清算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4.2</w:t>
      </w:r>
      <w:r>
        <w:rPr>
          <w:rFonts w:hint="eastAsia" w:ascii="仿宋" w:hAnsi="仿宋" w:eastAsia="仿宋" w:cs="Times New Roman"/>
          <w:sz w:val="32"/>
          <w:szCs w:val="30"/>
        </w:rPr>
        <w:t>万亿元，代理清算占比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7.7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%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7322A141">
      <w:pPr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，债券中央对手清算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29.8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亿元，占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上半年</w:t>
      </w:r>
      <w:r>
        <w:rPr>
          <w:rFonts w:ascii="仿宋" w:hAnsi="仿宋" w:eastAsia="仿宋" w:cs="Times New Roman"/>
          <w:sz w:val="32"/>
          <w:szCs w:val="30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清算规模1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9.09</w:t>
      </w:r>
      <w:r>
        <w:rPr>
          <w:rFonts w:hint="eastAsia" w:ascii="仿宋" w:hAnsi="仿宋" w:eastAsia="仿宋" w:cs="Times New Roman"/>
          <w:sz w:val="32"/>
          <w:szCs w:val="30"/>
        </w:rPr>
        <w:t>%；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利率衍生品中央对手</w:t>
      </w:r>
      <w:r>
        <w:rPr>
          <w:rFonts w:hint="eastAsia"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37.2</w:t>
      </w:r>
      <w:r>
        <w:rPr>
          <w:rFonts w:hint="eastAsia" w:ascii="仿宋" w:hAnsi="仿宋" w:eastAsia="仿宋" w:cs="Times New Roman"/>
          <w:sz w:val="32"/>
          <w:szCs w:val="30"/>
        </w:rPr>
        <w:t>万亿元，占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23.83</w:t>
      </w:r>
      <w:r>
        <w:rPr>
          <w:rFonts w:hint="eastAsia" w:ascii="仿宋" w:hAnsi="仿宋" w:eastAsia="仿宋" w:cs="Times New Roman"/>
          <w:sz w:val="32"/>
          <w:szCs w:val="30"/>
        </w:rPr>
        <w:t>%；外汇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89.1</w:t>
      </w:r>
      <w:r>
        <w:rPr>
          <w:rFonts w:hint="eastAsia" w:ascii="仿宋" w:hAnsi="仿宋" w:eastAsia="仿宋" w:cs="Times New Roman"/>
          <w:sz w:val="32"/>
          <w:szCs w:val="30"/>
        </w:rPr>
        <w:t>万亿元，占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57.07</w:t>
      </w:r>
      <w:r>
        <w:rPr>
          <w:rFonts w:hint="eastAsia" w:ascii="仿宋" w:hAnsi="仿宋" w:eastAsia="仿宋" w:cs="Times New Roman"/>
          <w:sz w:val="32"/>
          <w:szCs w:val="30"/>
        </w:rPr>
        <w:t>%；大宗商品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衍生品</w:t>
      </w:r>
      <w:r>
        <w:rPr>
          <w:rFonts w:hint="eastAsia"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242.6</w:t>
      </w:r>
      <w:r>
        <w:rPr>
          <w:rFonts w:hint="eastAsia" w:ascii="仿宋" w:hAnsi="仿宋" w:eastAsia="仿宋" w:cs="Times New Roman"/>
          <w:sz w:val="32"/>
          <w:szCs w:val="30"/>
        </w:rPr>
        <w:t>亿元，占0.0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</w:t>
      </w:r>
      <w:r>
        <w:rPr>
          <w:rFonts w:hint="eastAsia" w:ascii="仿宋" w:hAnsi="仿宋" w:eastAsia="仿宋" w:cs="Times New Roman"/>
          <w:sz w:val="32"/>
          <w:szCs w:val="30"/>
        </w:rPr>
        <w:t>%；信用衍生品清算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10.8</w:t>
      </w:r>
      <w:r>
        <w:rPr>
          <w:rFonts w:hint="eastAsia" w:ascii="仿宋" w:hAnsi="仿宋" w:eastAsia="仿宋" w:cs="Times New Roman"/>
          <w:sz w:val="32"/>
          <w:szCs w:val="30"/>
        </w:rPr>
        <w:t>亿元。从参与方式看，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通过综合清算会员代理清算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23.8</w:t>
      </w:r>
      <w:r>
        <w:rPr>
          <w:rFonts w:hint="eastAsia" w:ascii="仿宋" w:hAnsi="仿宋" w:eastAsia="仿宋" w:cs="Times New Roman"/>
          <w:sz w:val="32"/>
          <w:szCs w:val="30"/>
        </w:rPr>
        <w:t>万亿元，代理清算占比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7.6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%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3BA433A1">
      <w:pPr>
        <w:snapToGrid w:val="0"/>
        <w:spacing w:line="580" w:lineRule="exact"/>
        <w:jc w:val="center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28"/>
          <w:szCs w:val="30"/>
        </w:rPr>
        <w:t>表</w:t>
      </w:r>
      <w:r>
        <w:rPr>
          <w:rFonts w:ascii="仿宋" w:hAnsi="仿宋" w:eastAsia="仿宋" w:cs="Times New Roman"/>
          <w:sz w:val="28"/>
          <w:szCs w:val="30"/>
        </w:rPr>
        <w:t>1 202</w:t>
      </w:r>
      <w:r>
        <w:rPr>
          <w:rFonts w:hint="eastAsia" w:ascii="仿宋" w:hAnsi="仿宋" w:eastAsia="仿宋" w:cs="Times New Roman"/>
          <w:sz w:val="28"/>
          <w:szCs w:val="30"/>
          <w:lang w:val="en-US" w:eastAsia="zh-CN"/>
        </w:rPr>
        <w:t>6年上半年</w:t>
      </w:r>
      <w:r>
        <w:rPr>
          <w:rFonts w:hint="eastAsia" w:ascii="仿宋" w:hAnsi="仿宋" w:eastAsia="仿宋" w:cs="Times New Roman"/>
          <w:sz w:val="28"/>
          <w:szCs w:val="30"/>
        </w:rPr>
        <w:t>各产品中央对手清算及代理清算情况</w:t>
      </w:r>
    </w:p>
    <w:tbl>
      <w:tblPr>
        <w:tblStyle w:val="35"/>
        <w:tblpPr w:leftFromText="180" w:rightFromText="180" w:vertAnchor="text" w:tblpX="-448" w:tblpY="1"/>
        <w:tblW w:w="5523" w:type="pct"/>
        <w:tblInd w:w="0" w:type="dxa"/>
        <w:tblBorders>
          <w:top w:val="single" w:color="8EAADB" w:themeColor="accent5" w:themeTint="99" w:sz="2" w:space="0"/>
          <w:left w:val="none" w:color="auto" w:sz="0" w:space="0"/>
          <w:bottom w:val="single" w:color="8EAADB" w:themeColor="accent5" w:themeTint="99" w:sz="2" w:space="0"/>
          <w:right w:val="none" w:color="auto" w:sz="0" w:space="0"/>
          <w:insideH w:val="single" w:color="8EAADB" w:themeColor="accent5" w:themeTint="99" w:sz="2" w:space="0"/>
          <w:insideV w:val="single" w:color="8EAADB" w:themeColor="accent5" w:themeTint="99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775"/>
        <w:gridCol w:w="1123"/>
        <w:gridCol w:w="1477"/>
        <w:gridCol w:w="1067"/>
        <w:gridCol w:w="981"/>
        <w:gridCol w:w="1426"/>
        <w:gridCol w:w="1161"/>
      </w:tblGrid>
      <w:tr w14:paraId="4D14004C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E7E6E6" w:themeFill="background2"/>
            <w:noWrap/>
            <w:vAlign w:val="center"/>
          </w:tcPr>
          <w:p w14:paraId="649BA2B8">
            <w:pPr>
              <w:widowControl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中央对手清算产品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E7E6E6" w:themeFill="background2"/>
            <w:vAlign w:val="center"/>
          </w:tcPr>
          <w:p w14:paraId="41BE4F8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清算</w:t>
            </w:r>
          </w:p>
          <w:p w14:paraId="3CFDA9F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笔数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E7E6E6" w:themeFill="background2"/>
            <w:noWrap/>
            <w:vAlign w:val="center"/>
          </w:tcPr>
          <w:p w14:paraId="6A6F0E5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清算规模</w:t>
            </w:r>
          </w:p>
          <w:p w14:paraId="41874CF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2"/>
              </w:rPr>
              <w:t>(亿元)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E7E6E6" w:themeFill="background2"/>
            <w:vAlign w:val="center"/>
          </w:tcPr>
          <w:p w14:paraId="7E9FB21B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清算规模</w:t>
            </w:r>
            <w:r>
              <w:rPr>
                <w:rFonts w:ascii="仿宋" w:hAnsi="仿宋" w:eastAsia="仿宋" w:cs="宋体"/>
                <w:b/>
                <w:bCs/>
                <w:kern w:val="0"/>
                <w:sz w:val="22"/>
              </w:rPr>
              <w:t>占比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E7E6E6" w:themeFill="background2"/>
            <w:noWrap/>
            <w:vAlign w:val="center"/>
          </w:tcPr>
          <w:p w14:paraId="4F80BFFA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代理清</w:t>
            </w:r>
          </w:p>
          <w:p w14:paraId="1951B19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算笔数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E7E6E6" w:themeFill="background2"/>
            <w:vAlign w:val="center"/>
          </w:tcPr>
          <w:p w14:paraId="6E15AFA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代理清算规模（亿元</w:t>
            </w:r>
            <w:r>
              <w:rPr>
                <w:rFonts w:ascii="仿宋" w:hAnsi="仿宋" w:eastAsia="仿宋" w:cs="宋体"/>
                <w:b/>
                <w:bCs/>
                <w:kern w:val="0"/>
                <w:sz w:val="22"/>
              </w:rPr>
              <w:t>）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E7E6E6" w:themeFill="background2"/>
            <w:noWrap/>
            <w:vAlign w:val="center"/>
          </w:tcPr>
          <w:p w14:paraId="5101CCA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代理清算规模占比</w:t>
            </w:r>
          </w:p>
        </w:tc>
      </w:tr>
      <w:tr w14:paraId="4F07C6B1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3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14:paraId="135C4C36"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债券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56E47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19664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169B2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297955.49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5A7EF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19.09%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55017A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34BCC9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2490.81 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497956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17EDFD76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E47E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 w:val="0"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2"/>
              </w:rPr>
              <w:t>利率</w:t>
            </w:r>
          </w:p>
          <w:p w14:paraId="53F9F77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 w:val="0"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 w:val="0"/>
                <w:kern w:val="0"/>
                <w:sz w:val="22"/>
              </w:rPr>
              <w:t>衍生品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8264A"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人民币利率互换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1C1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211557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32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339007.64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95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21.71%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0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21011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AE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32838.28 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288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4.8%</w:t>
            </w:r>
          </w:p>
        </w:tc>
      </w:tr>
      <w:tr w14:paraId="7D8A9541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14:paraId="202161AC">
            <w:pPr>
              <w:widowControl/>
              <w:jc w:val="center"/>
              <w:rPr>
                <w:rFonts w:ascii="仿宋" w:hAnsi="仿宋" w:eastAsia="仿宋" w:cs="宋体"/>
                <w:b/>
                <w:bCs w:val="0"/>
                <w:kern w:val="0"/>
                <w:sz w:val="22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</w:tcPr>
          <w:p w14:paraId="3BACDA1A"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标准债券远期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7137F0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9736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0A0DD0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33020.70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4F0DED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2.12%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6462F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1223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43B76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5032.70 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6DC36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7.6%</w:t>
            </w:r>
          </w:p>
        </w:tc>
      </w:tr>
      <w:tr w14:paraId="34246005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3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8CEA34">
            <w:pPr>
              <w:spacing w:line="276" w:lineRule="auto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外汇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B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1724907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08B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890943.29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E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57.07%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87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430841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4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197350.25 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BF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11.1%</w:t>
            </w:r>
          </w:p>
        </w:tc>
      </w:tr>
      <w:tr w14:paraId="1FC214C5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3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14:paraId="7284730F"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大宗商品衍生品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5E3EFF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153810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31CCB3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242.61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151109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0.01%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49B104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31694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14:paraId="26F99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16.34 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vAlign w:val="center"/>
          </w:tcPr>
          <w:p w14:paraId="50030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3.4%</w:t>
            </w:r>
          </w:p>
        </w:tc>
      </w:tr>
      <w:tr w14:paraId="00A1ABBF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3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3A3892D"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信用衍生品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28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6DB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10.80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0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0.001%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51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B23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EA7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6E82FD72">
        <w:tblPrEx>
          <w:tblBorders>
            <w:top w:val="single" w:color="8EAADB" w:themeColor="accent5" w:themeTint="99" w:sz="2" w:space="0"/>
            <w:left w:val="none" w:color="auto" w:sz="0" w:space="0"/>
            <w:bottom w:val="single" w:color="8EAADB" w:themeColor="accent5" w:themeTint="99" w:sz="2" w:space="0"/>
            <w:right w:val="none" w:color="auto" w:sz="0" w:space="0"/>
            <w:insideH w:val="single" w:color="8EAADB" w:themeColor="accent5" w:themeTint="99" w:sz="2" w:space="0"/>
            <w:insideV w:val="single" w:color="8EAADB" w:themeColor="accent5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3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</w:tcPr>
          <w:p w14:paraId="55466BCB"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b w:val="0"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vAlign w:val="center"/>
          </w:tcPr>
          <w:p w14:paraId="09A227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2119686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 w14:paraId="2CCFA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1561180.52 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vAlign w:val="center"/>
          </w:tcPr>
          <w:p w14:paraId="353B88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lang w:val="en-US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100% </w:t>
            </w:r>
          </w:p>
        </w:tc>
        <w:tc>
          <w:tcPr>
            <w:tcW w:w="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 w14:paraId="47F85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485179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vAlign w:val="center"/>
          </w:tcPr>
          <w:p w14:paraId="1CA86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lang w:val="en-US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237728.38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vAlign w:val="center"/>
          </w:tcPr>
          <w:p w14:paraId="0498A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7.6%</w:t>
            </w:r>
          </w:p>
        </w:tc>
      </w:tr>
    </w:tbl>
    <w:p w14:paraId="7496C99A">
      <w:pPr>
        <w:widowControl/>
        <w:jc w:val="center"/>
        <w:textAlignment w:val="bottom"/>
        <w:rPr>
          <w:rFonts w:ascii="仿宋" w:hAnsi="仿宋" w:eastAsia="仿宋" w:cs="Times New Roman"/>
          <w:sz w:val="28"/>
          <w:szCs w:val="30"/>
        </w:rPr>
      </w:pPr>
      <w:r>
        <w:drawing>
          <wp:inline distT="0" distB="0" distL="114300" distR="114300">
            <wp:extent cx="5132705" cy="3191510"/>
            <wp:effectExtent l="0" t="0" r="10795" b="889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8376F">
      <w:pPr>
        <w:widowControl/>
        <w:jc w:val="center"/>
        <w:textAlignment w:val="bottom"/>
        <w:rPr>
          <w:rFonts w:ascii="仿宋" w:hAnsi="仿宋" w:eastAsia="仿宋" w:cs="Times New Roman"/>
          <w:sz w:val="28"/>
          <w:szCs w:val="30"/>
        </w:rPr>
      </w:pPr>
      <w:r>
        <w:rPr>
          <w:rFonts w:ascii="仿宋" w:hAnsi="仿宋" w:eastAsia="仿宋" w:cs="Times New Roman"/>
          <w:sz w:val="28"/>
          <w:szCs w:val="30"/>
        </w:rPr>
        <w:t>图2 202</w:t>
      </w:r>
      <w:r>
        <w:rPr>
          <w:rFonts w:hint="eastAsia" w:ascii="仿宋" w:hAnsi="仿宋" w:eastAsia="仿宋" w:cs="Times New Roman"/>
          <w:sz w:val="28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28"/>
          <w:szCs w:val="30"/>
        </w:rPr>
        <w:t>年</w:t>
      </w:r>
      <w:r>
        <w:rPr>
          <w:rFonts w:hint="eastAsia" w:ascii="仿宋" w:hAnsi="仿宋" w:eastAsia="仿宋" w:cs="Times New Roman"/>
          <w:sz w:val="28"/>
          <w:szCs w:val="30"/>
        </w:rPr>
        <w:t>上半年各产品中央对手清算规模</w:t>
      </w:r>
      <w:r>
        <w:rPr>
          <w:rFonts w:ascii="仿宋" w:hAnsi="仿宋" w:eastAsia="仿宋" w:cs="Times New Roman"/>
          <w:sz w:val="28"/>
          <w:szCs w:val="30"/>
        </w:rPr>
        <w:t>结构</w:t>
      </w:r>
    </w:p>
    <w:p w14:paraId="527BE34E">
      <w:pPr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ascii="仿宋" w:hAnsi="仿宋" w:eastAsia="仿宋" w:cs="Times New Roman"/>
          <w:sz w:val="32"/>
          <w:szCs w:val="32"/>
        </w:rPr>
        <w:t>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末，纳入中央对手清算的产品存续规模总计</w:t>
      </w:r>
      <w:r>
        <w:rPr>
          <w:rFonts w:ascii="仿宋" w:hAnsi="仿宋" w:eastAsia="仿宋" w:cs="Times New Roman"/>
          <w:sz w:val="32"/>
          <w:szCs w:val="30"/>
        </w:rPr>
        <w:t>6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1.2</w:t>
      </w:r>
      <w:r>
        <w:rPr>
          <w:rFonts w:hint="eastAsia" w:ascii="仿宋" w:hAnsi="仿宋" w:eastAsia="仿宋" w:cs="Times New Roman"/>
          <w:sz w:val="32"/>
          <w:szCs w:val="30"/>
        </w:rPr>
        <w:t>万亿元，同比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下降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3.5</w:t>
      </w:r>
      <w:r>
        <w:rPr>
          <w:rFonts w:hint="eastAsia" w:ascii="仿宋" w:hAnsi="仿宋" w:eastAsia="仿宋" w:cs="Times New Roman"/>
          <w:sz w:val="32"/>
          <w:szCs w:val="30"/>
        </w:rPr>
        <w:t>%。其中，债券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回购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651.9</w:t>
      </w:r>
      <w:r>
        <w:rPr>
          <w:rFonts w:hint="eastAsia" w:ascii="仿宋" w:hAnsi="仿宋" w:eastAsia="仿宋" w:cs="Times New Roman"/>
          <w:sz w:val="32"/>
          <w:szCs w:val="30"/>
        </w:rPr>
        <w:t>亿元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0"/>
        </w:rPr>
        <w:t>利率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衍生品</w:t>
      </w:r>
      <w:r>
        <w:rPr>
          <w:rFonts w:ascii="仿宋" w:hAnsi="仿宋" w:eastAsia="仿宋" w:cs="Times New Roman"/>
          <w:sz w:val="32"/>
          <w:szCs w:val="30"/>
        </w:rPr>
        <w:t>4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7.16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亿元，外汇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14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1EE8D163">
      <w:pPr>
        <w:pStyle w:val="3"/>
        <w:numPr>
          <w:ilvl w:val="0"/>
          <w:numId w:val="3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其他集中清算业务概览</w:t>
      </w:r>
    </w:p>
    <w:p w14:paraId="7B69258C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月，上海清算所债券全额清算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48</w:t>
      </w:r>
      <w:r>
        <w:rPr>
          <w:rFonts w:hint="eastAsia" w:ascii="仿宋" w:hAnsi="仿宋" w:eastAsia="仿宋" w:cs="Times New Roman"/>
          <w:sz w:val="32"/>
          <w:szCs w:val="30"/>
        </w:rPr>
        <w:t>万亿元，外币回购清算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3400.9</w:t>
      </w:r>
      <w:r>
        <w:rPr>
          <w:rFonts w:hint="eastAsia" w:ascii="仿宋" w:hAnsi="仿宋" w:eastAsia="仿宋" w:cs="Times New Roman"/>
          <w:sz w:val="32"/>
          <w:szCs w:val="30"/>
        </w:rPr>
        <w:t>亿元，人民币外汇双边清算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2453.3</w:t>
      </w:r>
      <w:r>
        <w:rPr>
          <w:rFonts w:hint="eastAsia" w:ascii="仿宋" w:hAnsi="仿宋" w:eastAsia="仿宋" w:cs="Times New Roman"/>
          <w:sz w:val="32"/>
          <w:szCs w:val="30"/>
        </w:rPr>
        <w:t>亿元，大宗商品现货清算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266.7</w:t>
      </w:r>
      <w:r>
        <w:rPr>
          <w:rFonts w:hint="eastAsia" w:ascii="仿宋" w:hAnsi="仿宋" w:eastAsia="仿宋" w:cs="Times New Roman"/>
          <w:sz w:val="32"/>
          <w:szCs w:val="30"/>
        </w:rPr>
        <w:t>亿元，信用衍生品清算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30.1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5934AB4B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，债券全额清算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310.3</w:t>
      </w:r>
      <w:r>
        <w:rPr>
          <w:rFonts w:hint="eastAsia" w:ascii="仿宋" w:hAnsi="仿宋" w:eastAsia="仿宋" w:cs="Times New Roman"/>
          <w:sz w:val="32"/>
          <w:szCs w:val="30"/>
        </w:rPr>
        <w:t>万亿元，外币回购清算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1.34万</w:t>
      </w:r>
      <w:r>
        <w:rPr>
          <w:rFonts w:hint="eastAsia" w:ascii="仿宋" w:hAnsi="仿宋" w:eastAsia="仿宋" w:cs="Times New Roman"/>
          <w:sz w:val="32"/>
          <w:szCs w:val="30"/>
        </w:rPr>
        <w:t>亿元，人民币外汇双边清算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1.46万</w:t>
      </w:r>
      <w:r>
        <w:rPr>
          <w:rFonts w:hint="eastAsia" w:ascii="仿宋" w:hAnsi="仿宋" w:eastAsia="仿宋" w:cs="Times New Roman"/>
          <w:sz w:val="32"/>
          <w:szCs w:val="30"/>
        </w:rPr>
        <w:t>亿元，大宗商品现货清算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1774.7</w:t>
      </w:r>
      <w:r>
        <w:rPr>
          <w:rFonts w:hint="eastAsia" w:ascii="仿宋" w:hAnsi="仿宋" w:eastAsia="仿宋" w:cs="Times New Roman"/>
          <w:sz w:val="32"/>
          <w:szCs w:val="30"/>
        </w:rPr>
        <w:t>亿元，信用衍生品清算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190.8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61F80B2A">
      <w:pPr>
        <w:pStyle w:val="2"/>
        <w:numPr>
          <w:ilvl w:val="0"/>
          <w:numId w:val="2"/>
        </w:numPr>
        <w:adjustRightInd w:val="0"/>
        <w:snapToGrid w:val="0"/>
        <w:spacing w:before="120" w:after="0" w:line="580" w:lineRule="exact"/>
        <w:ind w:left="986"/>
        <w:rPr>
          <w:rFonts w:ascii="黑体" w:hAnsi="黑体" w:cs="Times New Roman"/>
          <w:szCs w:val="30"/>
        </w:rPr>
      </w:pPr>
      <w:r>
        <w:rPr>
          <w:rFonts w:hint="eastAsia" w:ascii="黑体" w:hAnsi="黑体" w:cs="Times New Roman"/>
          <w:szCs w:val="30"/>
        </w:rPr>
        <w:t>中央对手清算产品</w:t>
      </w:r>
      <w:r>
        <w:rPr>
          <w:rFonts w:ascii="黑体" w:hAnsi="黑体" w:cs="Times New Roman"/>
          <w:szCs w:val="30"/>
        </w:rPr>
        <w:t>情况</w:t>
      </w:r>
    </w:p>
    <w:p w14:paraId="03D13B8E">
      <w:pPr>
        <w:pStyle w:val="3"/>
        <w:numPr>
          <w:ilvl w:val="0"/>
          <w:numId w:val="4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债券</w:t>
      </w:r>
    </w:p>
    <w:p w14:paraId="4C9ECB9E">
      <w:pPr>
        <w:widowControl/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月，中央对手清算债券交易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3150</w:t>
      </w:r>
      <w:r>
        <w:rPr>
          <w:rFonts w:hint="eastAsia" w:ascii="仿宋" w:hAnsi="仿宋" w:eastAsia="仿宋" w:cs="Times New Roman"/>
          <w:sz w:val="32"/>
          <w:szCs w:val="30"/>
        </w:rPr>
        <w:t>笔，债券面额合计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3.56</w:t>
      </w:r>
      <w:r>
        <w:rPr>
          <w:rFonts w:hint="eastAsia" w:ascii="仿宋" w:hAnsi="仿宋" w:eastAsia="仿宋" w:cs="Times New Roman"/>
          <w:sz w:val="32"/>
          <w:szCs w:val="30"/>
        </w:rPr>
        <w:t>万亿元，同比增长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20.9</w:t>
      </w:r>
      <w:r>
        <w:rPr>
          <w:rFonts w:hint="eastAsia" w:ascii="仿宋" w:hAnsi="仿宋" w:eastAsia="仿宋" w:cs="Times New Roman"/>
          <w:sz w:val="32"/>
          <w:szCs w:val="30"/>
        </w:rPr>
        <w:t>%。其中，现券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1408.7</w:t>
      </w:r>
      <w:r>
        <w:rPr>
          <w:rFonts w:hint="eastAsia" w:ascii="仿宋" w:hAnsi="仿宋" w:eastAsia="仿宋" w:cs="Times New Roman"/>
          <w:sz w:val="32"/>
          <w:szCs w:val="30"/>
        </w:rPr>
        <w:t>亿元，回购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3.42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2C54A912">
      <w:pPr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，中央对手清算债券交易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1.97万</w:t>
      </w:r>
      <w:r>
        <w:rPr>
          <w:rFonts w:hint="eastAsia" w:ascii="仿宋" w:hAnsi="仿宋" w:eastAsia="仿宋" w:cs="Times New Roman"/>
          <w:sz w:val="32"/>
          <w:szCs w:val="30"/>
        </w:rPr>
        <w:t>笔，债券面额合计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29.8</w:t>
      </w:r>
      <w:r>
        <w:rPr>
          <w:rFonts w:hint="eastAsia" w:ascii="仿宋" w:hAnsi="仿宋" w:eastAsia="仿宋" w:cs="Times New Roman"/>
          <w:sz w:val="32"/>
          <w:szCs w:val="30"/>
        </w:rPr>
        <w:t>万亿元，同比增长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165.2</w:t>
      </w:r>
      <w:r>
        <w:rPr>
          <w:rFonts w:hint="eastAsia" w:ascii="仿宋" w:hAnsi="仿宋" w:eastAsia="仿宋" w:cs="Times New Roman"/>
          <w:sz w:val="32"/>
          <w:szCs w:val="30"/>
        </w:rPr>
        <w:t>%。其中，现券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5219.7</w:t>
      </w:r>
      <w:r>
        <w:rPr>
          <w:rFonts w:hint="eastAsia" w:ascii="仿宋" w:hAnsi="仿宋" w:eastAsia="仿宋" w:cs="Times New Roman"/>
          <w:sz w:val="32"/>
          <w:szCs w:val="30"/>
        </w:rPr>
        <w:t>亿元，回购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29.27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一季度和二季度的资金轧差率均在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72%以上。</w:t>
      </w:r>
    </w:p>
    <w:p w14:paraId="7C6ED147">
      <w:pPr>
        <w:widowControl/>
        <w:tabs>
          <w:tab w:val="center" w:pos="4153"/>
          <w:tab w:val="right" w:pos="8306"/>
        </w:tabs>
        <w:snapToGrid w:val="0"/>
        <w:spacing w:before="411" w:beforeLines="100" w:line="580" w:lineRule="exact"/>
        <w:contextualSpacing/>
        <w:jc w:val="center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28"/>
          <w:szCs w:val="30"/>
        </w:rPr>
        <w:t xml:space="preserve">表2  </w:t>
      </w:r>
      <w:r>
        <w:rPr>
          <w:rFonts w:hint="eastAsia" w:ascii="仿宋" w:hAnsi="仿宋" w:eastAsia="仿宋" w:cs="Times New Roman"/>
          <w:sz w:val="32"/>
          <w:szCs w:val="30"/>
        </w:rPr>
        <w:t>近一年债券中央对手清算业务情况</w:t>
      </w:r>
    </w:p>
    <w:tbl>
      <w:tblPr>
        <w:tblStyle w:val="33"/>
        <w:tblpPr w:leftFromText="180" w:rightFromText="180" w:vertAnchor="text" w:tblpX="113" w:tblpY="1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1461"/>
        <w:gridCol w:w="1462"/>
        <w:gridCol w:w="1462"/>
        <w:gridCol w:w="1462"/>
      </w:tblGrid>
      <w:tr w14:paraId="659C2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11" w:type="dxa"/>
            <w:tcBorders>
              <w:bottom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B381BD1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</w:rPr>
              <w:t>业务统计项目</w:t>
            </w:r>
          </w:p>
        </w:tc>
        <w:tc>
          <w:tcPr>
            <w:tcW w:w="1461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14:paraId="7230D79F"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2025年</w:t>
            </w:r>
          </w:p>
          <w:p w14:paraId="5957C2F0">
            <w:pPr>
              <w:widowControl/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color w:val="2E75B6" w:themeColor="accent1" w:themeShade="BF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三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季度</w:t>
            </w:r>
          </w:p>
        </w:tc>
        <w:tc>
          <w:tcPr>
            <w:tcW w:w="1462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14:paraId="39FE858F"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2025年</w:t>
            </w:r>
          </w:p>
          <w:p w14:paraId="027920DA">
            <w:pPr>
              <w:widowControl/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color w:val="2E75B6" w:themeColor="accent1" w:themeShade="BF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四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季度</w:t>
            </w:r>
          </w:p>
        </w:tc>
        <w:tc>
          <w:tcPr>
            <w:tcW w:w="1462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14:paraId="4E264D47"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202</w: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  <w:lang w:val="en-US" w:eastAsia="zh-CN"/>
              </w:rPr>
              <w:t>6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年</w:t>
            </w:r>
          </w:p>
          <w:p w14:paraId="6D1EC953">
            <w:pPr>
              <w:widowControl/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color w:val="2E75B6" w:themeColor="accent1" w:themeShade="BF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  <w:lang w:val="en-US" w:eastAsia="zh-CN"/>
              </w:rPr>
              <w:t>一季度</w:t>
            </w:r>
          </w:p>
        </w:tc>
        <w:tc>
          <w:tcPr>
            <w:tcW w:w="1462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14:paraId="6FA3DC1A"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202</w: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  <w:lang w:val="en-US" w:eastAsia="zh-CN"/>
              </w:rPr>
              <w:t>6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年</w:t>
            </w:r>
          </w:p>
          <w:p w14:paraId="70494FFC">
            <w:pPr>
              <w:widowControl/>
              <w:spacing w:line="300" w:lineRule="exact"/>
              <w:jc w:val="center"/>
              <w:rPr>
                <w:rFonts w:ascii="仿宋" w:hAnsi="仿宋" w:eastAsia="仿宋"/>
                <w:b w:val="0"/>
                <w:bCs w:val="0"/>
                <w:color w:val="2E75B6" w:themeColor="accent1" w:themeShade="BF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  <w:lang w:val="en-US" w:eastAsia="zh-CN"/>
              </w:rPr>
              <w:t>二季度</w:t>
            </w:r>
          </w:p>
        </w:tc>
      </w:tr>
      <w:tr w14:paraId="4A86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1" w:type="dxa"/>
            <w:tcBorders>
              <w:top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325DEB90">
            <w:pPr>
              <w:widowControl/>
              <w:spacing w:line="288" w:lineRule="auto"/>
              <w:jc w:val="center"/>
              <w:rPr>
                <w:rFonts w:ascii="仿宋" w:hAnsi="仿宋" w:eastAsia="仿宋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清算笔数</w:t>
            </w:r>
            <w:r>
              <w:rPr>
                <w:rStyle w:val="14"/>
                <w:rFonts w:ascii="仿宋" w:hAnsi="仿宋" w:eastAsia="仿宋"/>
                <w:b/>
                <w:bCs/>
                <w:color w:val="auto"/>
                <w:sz w:val="22"/>
              </w:rPr>
              <w:footnoteReference w:id="3"/>
            </w: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（笔/交易）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14:paraId="5822C702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8317</w:t>
            </w:r>
          </w:p>
        </w:tc>
        <w:tc>
          <w:tcPr>
            <w:tcW w:w="1462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14:paraId="49396D72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8789</w:t>
            </w:r>
          </w:p>
        </w:tc>
        <w:tc>
          <w:tcPr>
            <w:tcW w:w="1462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14:paraId="3B288076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9263</w:t>
            </w:r>
          </w:p>
        </w:tc>
        <w:tc>
          <w:tcPr>
            <w:tcW w:w="1462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14:paraId="1BD504BD">
            <w:pPr>
              <w:keepNext w:val="0"/>
              <w:keepLines w:val="0"/>
              <w:widowControl/>
              <w:suppressLineNumbers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10401</w:t>
            </w:r>
          </w:p>
        </w:tc>
      </w:tr>
      <w:tr w14:paraId="765A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1" w:type="dxa"/>
            <w:noWrap/>
            <w:vAlign w:val="center"/>
          </w:tcPr>
          <w:p w14:paraId="1994A6EA">
            <w:pPr>
              <w:widowControl/>
              <w:spacing w:line="288" w:lineRule="auto"/>
              <w:jc w:val="center"/>
              <w:rPr>
                <w:rFonts w:ascii="仿宋" w:hAnsi="仿宋" w:eastAsia="仿宋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清算规模（亿元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）</w:t>
            </w:r>
          </w:p>
        </w:tc>
        <w:tc>
          <w:tcPr>
            <w:tcW w:w="1461" w:type="dxa"/>
            <w:vAlign w:val="center"/>
          </w:tcPr>
          <w:p w14:paraId="76D41687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100780.0</w:t>
            </w:r>
          </w:p>
        </w:tc>
        <w:tc>
          <w:tcPr>
            <w:tcW w:w="1462" w:type="dxa"/>
            <w:vAlign w:val="center"/>
          </w:tcPr>
          <w:p w14:paraId="417129BC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117873.8</w:t>
            </w:r>
          </w:p>
        </w:tc>
        <w:tc>
          <w:tcPr>
            <w:tcW w:w="1462" w:type="dxa"/>
            <w:vAlign w:val="center"/>
          </w:tcPr>
          <w:p w14:paraId="2D5AF255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154914.5</w:t>
            </w:r>
          </w:p>
        </w:tc>
        <w:tc>
          <w:tcPr>
            <w:tcW w:w="1462" w:type="dxa"/>
            <w:vAlign w:val="center"/>
          </w:tcPr>
          <w:p w14:paraId="150F62F9">
            <w:pPr>
              <w:keepNext w:val="0"/>
              <w:keepLines w:val="0"/>
              <w:widowControl/>
              <w:suppressLineNumbers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143041.0</w:t>
            </w:r>
          </w:p>
        </w:tc>
      </w:tr>
      <w:tr w14:paraId="141A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1" w:type="dxa"/>
            <w:shd w:val="clear" w:color="auto" w:fill="DEEAF6" w:themeFill="accent1" w:themeFillTint="33"/>
            <w:noWrap/>
            <w:vAlign w:val="center"/>
          </w:tcPr>
          <w:p w14:paraId="7A586F7F">
            <w:pPr>
              <w:widowControl/>
              <w:spacing w:line="288" w:lineRule="auto"/>
              <w:jc w:val="center"/>
              <w:rPr>
                <w:rFonts w:ascii="仿宋" w:hAnsi="仿宋" w:eastAsia="仿宋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轧差前金额（亿元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）</w:t>
            </w:r>
          </w:p>
        </w:tc>
        <w:tc>
          <w:tcPr>
            <w:tcW w:w="1461" w:type="dxa"/>
            <w:shd w:val="clear" w:color="auto" w:fill="DEEAF6" w:themeFill="accent1" w:themeFillTint="33"/>
            <w:vAlign w:val="center"/>
          </w:tcPr>
          <w:p w14:paraId="2DBA5D70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185184.5</w:t>
            </w:r>
          </w:p>
        </w:tc>
        <w:tc>
          <w:tcPr>
            <w:tcW w:w="1462" w:type="dxa"/>
            <w:shd w:val="clear" w:color="auto" w:fill="DEEAF6" w:themeFill="accent1" w:themeFillTint="33"/>
            <w:vAlign w:val="center"/>
          </w:tcPr>
          <w:p w14:paraId="619F66BB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220268.4</w:t>
            </w:r>
          </w:p>
        </w:tc>
        <w:tc>
          <w:tcPr>
            <w:tcW w:w="1462" w:type="dxa"/>
            <w:shd w:val="clear" w:color="auto" w:fill="DEEAF6" w:themeFill="accent1" w:themeFillTint="33"/>
            <w:vAlign w:val="center"/>
          </w:tcPr>
          <w:p w14:paraId="3B34F3FE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291755</w:t>
            </w:r>
          </w:p>
        </w:tc>
        <w:tc>
          <w:tcPr>
            <w:tcW w:w="1462" w:type="dxa"/>
            <w:shd w:val="clear" w:color="auto" w:fill="DEEAF6" w:themeFill="accent1" w:themeFillTint="33"/>
            <w:vAlign w:val="center"/>
          </w:tcPr>
          <w:p w14:paraId="79812BDD">
            <w:pPr>
              <w:keepNext w:val="0"/>
              <w:keepLines w:val="0"/>
              <w:widowControl/>
              <w:suppressLineNumbers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267536.15</w:t>
            </w:r>
          </w:p>
        </w:tc>
      </w:tr>
      <w:tr w14:paraId="7DF7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1" w:type="dxa"/>
            <w:noWrap/>
            <w:vAlign w:val="center"/>
          </w:tcPr>
          <w:p w14:paraId="67B80E6A">
            <w:pPr>
              <w:widowControl/>
              <w:spacing w:line="288" w:lineRule="auto"/>
              <w:jc w:val="center"/>
              <w:rPr>
                <w:rFonts w:ascii="仿宋" w:hAnsi="仿宋" w:eastAsia="仿宋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轧差后金额（亿元</w:t>
            </w:r>
            <w:r>
              <w:rPr>
                <w:rFonts w:ascii="仿宋" w:hAnsi="仿宋" w:eastAsia="仿宋"/>
                <w:b/>
                <w:bCs/>
                <w:color w:val="auto"/>
                <w:sz w:val="22"/>
              </w:rPr>
              <w:t>）</w:t>
            </w:r>
          </w:p>
        </w:tc>
        <w:tc>
          <w:tcPr>
            <w:tcW w:w="1461" w:type="dxa"/>
            <w:vAlign w:val="center"/>
          </w:tcPr>
          <w:p w14:paraId="1B0DD74B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47319.3</w:t>
            </w:r>
          </w:p>
        </w:tc>
        <w:tc>
          <w:tcPr>
            <w:tcW w:w="1462" w:type="dxa"/>
            <w:vAlign w:val="center"/>
          </w:tcPr>
          <w:p w14:paraId="7D092977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44579.6</w:t>
            </w:r>
          </w:p>
        </w:tc>
        <w:tc>
          <w:tcPr>
            <w:tcW w:w="1462" w:type="dxa"/>
            <w:vAlign w:val="center"/>
          </w:tcPr>
          <w:p w14:paraId="6388B689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66973</w:t>
            </w:r>
          </w:p>
        </w:tc>
        <w:tc>
          <w:tcPr>
            <w:tcW w:w="1462" w:type="dxa"/>
            <w:vAlign w:val="center"/>
          </w:tcPr>
          <w:p w14:paraId="0ECF8CCD">
            <w:pPr>
              <w:keepNext w:val="0"/>
              <w:keepLines w:val="0"/>
              <w:widowControl/>
              <w:suppressLineNumbers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73694.03</w:t>
            </w:r>
          </w:p>
        </w:tc>
      </w:tr>
      <w:tr w14:paraId="396A7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11" w:type="dxa"/>
            <w:shd w:val="clear" w:color="auto" w:fill="DEEAF6" w:themeFill="accent1" w:themeFillTint="33"/>
            <w:noWrap/>
            <w:vAlign w:val="center"/>
          </w:tcPr>
          <w:p w14:paraId="24275201">
            <w:pPr>
              <w:widowControl/>
              <w:spacing w:line="288" w:lineRule="auto"/>
              <w:jc w:val="center"/>
              <w:rPr>
                <w:rFonts w:ascii="仿宋" w:hAnsi="仿宋" w:eastAsia="仿宋"/>
                <w:b w:val="0"/>
                <w:bCs w:val="0"/>
                <w:color w:val="auto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2"/>
              </w:rPr>
              <w:t>资金轧差率</w:t>
            </w:r>
            <w:r>
              <w:rPr>
                <w:rStyle w:val="14"/>
                <w:rFonts w:ascii="Times New Roman" w:hAnsi="Times New Roman" w:eastAsia="仿宋" w:cs="Times New Roman"/>
                <w:b/>
                <w:bCs/>
                <w:color w:val="auto"/>
                <w:sz w:val="22"/>
                <w:szCs w:val="30"/>
              </w:rPr>
              <w:footnoteReference w:id="4"/>
            </w:r>
          </w:p>
        </w:tc>
        <w:tc>
          <w:tcPr>
            <w:tcW w:w="1461" w:type="dxa"/>
            <w:shd w:val="clear" w:color="auto" w:fill="DEEAF6" w:themeFill="accent1" w:themeFillTint="33"/>
            <w:vAlign w:val="center"/>
          </w:tcPr>
          <w:p w14:paraId="1381A80A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4.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%</w:t>
            </w:r>
          </w:p>
        </w:tc>
        <w:tc>
          <w:tcPr>
            <w:tcW w:w="1462" w:type="dxa"/>
            <w:shd w:val="clear" w:color="auto" w:fill="DEEAF6" w:themeFill="accent1" w:themeFillTint="33"/>
            <w:vAlign w:val="center"/>
          </w:tcPr>
          <w:p w14:paraId="70183988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9.8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%</w:t>
            </w:r>
          </w:p>
        </w:tc>
        <w:tc>
          <w:tcPr>
            <w:tcW w:w="1462" w:type="dxa"/>
            <w:shd w:val="clear" w:color="auto" w:fill="DEEAF6" w:themeFill="accent1" w:themeFillTint="33"/>
            <w:vAlign w:val="center"/>
          </w:tcPr>
          <w:p w14:paraId="6C64158F">
            <w:pPr>
              <w:widowControl/>
              <w:spacing w:line="288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7.0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%</w:t>
            </w:r>
          </w:p>
        </w:tc>
        <w:tc>
          <w:tcPr>
            <w:tcW w:w="1462" w:type="dxa"/>
            <w:shd w:val="clear" w:color="auto" w:fill="DEEAF6" w:themeFill="accent1" w:themeFillTint="33"/>
            <w:vAlign w:val="center"/>
          </w:tcPr>
          <w:p w14:paraId="569BF23A">
            <w:pPr>
              <w:keepNext w:val="0"/>
              <w:keepLines w:val="0"/>
              <w:widowControl/>
              <w:suppressLineNumbers w:val="0"/>
              <w:spacing w:line="288" w:lineRule="auto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72.5%</w:t>
            </w:r>
          </w:p>
        </w:tc>
      </w:tr>
    </w:tbl>
    <w:p w14:paraId="28F1731A">
      <w:pPr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ascii="仿宋" w:hAnsi="仿宋" w:eastAsia="仿宋" w:cs="Times New Roman"/>
          <w:sz w:val="32"/>
          <w:szCs w:val="32"/>
        </w:rPr>
        <w:t>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末，债券中央对手清算业务共有综合清算会员</w:t>
      </w:r>
      <w:r>
        <w:rPr>
          <w:rFonts w:ascii="仿宋" w:hAnsi="仿宋" w:eastAsia="仿宋" w:cs="Times New Roman"/>
          <w:sz w:val="32"/>
          <w:szCs w:val="30"/>
        </w:rPr>
        <w:t>8</w:t>
      </w:r>
      <w:r>
        <w:rPr>
          <w:rFonts w:hint="eastAsia" w:ascii="仿宋" w:hAnsi="仿宋" w:eastAsia="仿宋" w:cs="Times New Roman"/>
          <w:sz w:val="32"/>
          <w:szCs w:val="30"/>
        </w:rPr>
        <w:t>家、普通清算会员</w:t>
      </w:r>
      <w:r>
        <w:rPr>
          <w:rFonts w:ascii="仿宋" w:hAnsi="仿宋" w:eastAsia="仿宋" w:cs="Times New Roman"/>
          <w:sz w:val="32"/>
          <w:szCs w:val="30"/>
        </w:rPr>
        <w:t>7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</w:t>
      </w:r>
      <w:r>
        <w:rPr>
          <w:rFonts w:hint="eastAsia" w:ascii="仿宋" w:hAnsi="仿宋" w:eastAsia="仿宋" w:cs="Times New Roman"/>
          <w:sz w:val="32"/>
          <w:szCs w:val="30"/>
        </w:rPr>
        <w:t>家、代理客户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47</w:t>
      </w:r>
      <w:r>
        <w:rPr>
          <w:rFonts w:hint="eastAsia" w:ascii="仿宋" w:hAnsi="仿宋" w:eastAsia="仿宋" w:cs="Times New Roman"/>
          <w:sz w:val="32"/>
          <w:szCs w:val="30"/>
        </w:rPr>
        <w:t>家。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通过综合清算会员代理清算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410</w:t>
      </w:r>
      <w:r>
        <w:rPr>
          <w:rFonts w:hint="eastAsia" w:ascii="仿宋" w:hAnsi="仿宋" w:eastAsia="仿宋" w:cs="Times New Roman"/>
          <w:sz w:val="32"/>
          <w:szCs w:val="30"/>
        </w:rPr>
        <w:t>笔，规模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2490.81</w:t>
      </w:r>
      <w:r>
        <w:rPr>
          <w:rFonts w:hint="eastAsia" w:ascii="仿宋" w:hAnsi="仿宋" w:eastAsia="仿宋" w:cs="Times New Roman"/>
          <w:sz w:val="32"/>
          <w:szCs w:val="30"/>
        </w:rPr>
        <w:t>亿元，代理清算占比</w:t>
      </w:r>
      <w:r>
        <w:rPr>
          <w:rFonts w:ascii="仿宋" w:hAnsi="仿宋" w:eastAsia="仿宋" w:cs="Times New Roman"/>
          <w:sz w:val="32"/>
          <w:szCs w:val="30"/>
        </w:rPr>
        <w:t>0.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</w:t>
      </w:r>
      <w:r>
        <w:rPr>
          <w:rFonts w:ascii="仿宋" w:hAnsi="仿宋" w:eastAsia="仿宋" w:cs="Times New Roman"/>
          <w:sz w:val="32"/>
          <w:szCs w:val="30"/>
        </w:rPr>
        <w:t>%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51D983A9">
      <w:pPr>
        <w:pStyle w:val="3"/>
        <w:numPr>
          <w:ilvl w:val="0"/>
          <w:numId w:val="4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ascii="楷体" w:hAnsi="楷体" w:eastAsia="楷体" w:cs="Times New Roman"/>
          <w:b w:val="0"/>
          <w:sz w:val="32"/>
          <w:szCs w:val="30"/>
        </w:rPr>
        <w:t>利率衍生品</w:t>
      </w:r>
    </w:p>
    <w:p w14:paraId="3B996705">
      <w:pPr>
        <w:pStyle w:val="3"/>
        <w:adjustRightInd w:val="0"/>
        <w:snapToGrid w:val="0"/>
        <w:spacing w:line="580" w:lineRule="exact"/>
        <w:ind w:left="567"/>
        <w:rPr>
          <w:rFonts w:ascii="仿宋" w:hAnsi="仿宋"/>
          <w:b w:val="0"/>
          <w:sz w:val="32"/>
          <w:szCs w:val="30"/>
        </w:rPr>
      </w:pPr>
      <w:r>
        <w:rPr>
          <w:rFonts w:ascii="仿宋" w:hAnsi="仿宋"/>
          <w:b w:val="0"/>
          <w:sz w:val="32"/>
          <w:szCs w:val="30"/>
        </w:rPr>
        <w:t>1.人民币利率互换</w:t>
      </w:r>
    </w:p>
    <w:p w14:paraId="0711EBEF">
      <w:pPr>
        <w:widowControl/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</w:t>
      </w:r>
      <w:r>
        <w:rPr>
          <w:rFonts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</w:rPr>
        <w:t>人民币利率互换交易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4.56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笔，名义本金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6.85</w:t>
      </w:r>
      <w:r>
        <w:rPr>
          <w:rFonts w:hint="eastAsia" w:ascii="仿宋" w:hAnsi="仿宋" w:eastAsia="仿宋" w:cs="Times New Roman"/>
          <w:sz w:val="32"/>
          <w:szCs w:val="30"/>
        </w:rPr>
        <w:t>万亿元，同比增长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59</w:t>
      </w:r>
      <w:r>
        <w:rPr>
          <w:rFonts w:hint="eastAsia" w:ascii="仿宋" w:hAnsi="仿宋" w:eastAsia="仿宋" w:cs="Times New Roman"/>
          <w:sz w:val="32"/>
          <w:szCs w:val="30"/>
        </w:rPr>
        <w:t>%。从浮息端基准利率类型看，参考FR007的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5.54</w:t>
      </w:r>
      <w:r>
        <w:rPr>
          <w:rFonts w:hint="eastAsia" w:ascii="仿宋" w:hAnsi="仿宋" w:eastAsia="仿宋" w:cs="Times New Roman"/>
          <w:sz w:val="32"/>
          <w:szCs w:val="30"/>
        </w:rPr>
        <w:t>万亿元，参考Shibor_3M的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673.4</w:t>
      </w:r>
      <w:r>
        <w:rPr>
          <w:rFonts w:hint="eastAsia" w:ascii="仿宋" w:hAnsi="仿宋" w:eastAsia="仿宋" w:cs="Times New Roman"/>
          <w:sz w:val="32"/>
          <w:szCs w:val="30"/>
        </w:rPr>
        <w:t>亿元，参考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LPR1Y</w:t>
      </w:r>
      <w:r>
        <w:rPr>
          <w:rFonts w:hint="eastAsia" w:ascii="仿宋" w:hAnsi="仿宋" w:eastAsia="仿宋" w:cs="Times New Roman"/>
          <w:sz w:val="32"/>
          <w:szCs w:val="30"/>
        </w:rPr>
        <w:t>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53</w:t>
      </w:r>
      <w:r>
        <w:rPr>
          <w:rFonts w:hint="eastAsia" w:ascii="仿宋" w:hAnsi="仿宋" w:eastAsia="仿宋" w:cs="Times New Roman"/>
          <w:sz w:val="32"/>
          <w:szCs w:val="30"/>
        </w:rPr>
        <w:t>亿元；参考相关同业存单发行利率的标准利率互换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1.24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6FA78CB6">
      <w:pPr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2"/>
        </w:rPr>
        <w:t>清算人民币利率互换交易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21.16</w:t>
      </w:r>
      <w:r>
        <w:rPr>
          <w:rFonts w:ascii="仿宋" w:hAnsi="仿宋" w:eastAsia="仿宋" w:cs="Times New Roman"/>
          <w:sz w:val="32"/>
          <w:szCs w:val="32"/>
        </w:rPr>
        <w:t>万</w:t>
      </w:r>
      <w:r>
        <w:rPr>
          <w:rFonts w:hint="eastAsia" w:ascii="仿宋" w:hAnsi="仿宋" w:eastAsia="仿宋" w:cs="Times New Roman"/>
          <w:sz w:val="32"/>
          <w:szCs w:val="32"/>
        </w:rPr>
        <w:t>笔，名义本金合计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33.9</w:t>
      </w:r>
      <w:r>
        <w:rPr>
          <w:rFonts w:hint="eastAsia" w:ascii="仿宋" w:hAnsi="仿宋" w:eastAsia="仿宋" w:cs="Times New Roman"/>
          <w:sz w:val="32"/>
          <w:szCs w:val="32"/>
        </w:rPr>
        <w:t>万亿元，同比增长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35.2</w:t>
      </w:r>
      <w:r>
        <w:rPr>
          <w:rFonts w:ascii="仿宋" w:hAnsi="仿宋" w:eastAsia="仿宋" w:cs="Times New Roman"/>
          <w:sz w:val="32"/>
          <w:szCs w:val="32"/>
        </w:rPr>
        <w:t>%</w:t>
      </w:r>
      <w:r>
        <w:rPr>
          <w:rFonts w:hint="eastAsia" w:ascii="仿宋" w:hAnsi="仿宋" w:eastAsia="仿宋" w:cs="Times New Roman"/>
          <w:sz w:val="32"/>
          <w:szCs w:val="32"/>
        </w:rPr>
        <w:t>。从浮息端基准利率类型看，参考</w:t>
      </w:r>
      <w:r>
        <w:rPr>
          <w:rFonts w:ascii="仿宋" w:hAnsi="仿宋" w:eastAsia="仿宋" w:cs="Times New Roman"/>
          <w:sz w:val="32"/>
          <w:szCs w:val="32"/>
        </w:rPr>
        <w:t>FR007的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27.3</w:t>
      </w:r>
      <w:r>
        <w:rPr>
          <w:rFonts w:ascii="仿宋" w:hAnsi="仿宋" w:eastAsia="仿宋" w:cs="Times New Roman"/>
          <w:sz w:val="32"/>
          <w:szCs w:val="32"/>
        </w:rPr>
        <w:t>万亿元，参考Shibor_3M的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2802.9</w:t>
      </w:r>
      <w:r>
        <w:rPr>
          <w:rFonts w:hint="eastAsia" w:ascii="仿宋" w:hAnsi="仿宋" w:eastAsia="仿宋" w:cs="Times New Roman"/>
          <w:sz w:val="32"/>
          <w:szCs w:val="32"/>
        </w:rPr>
        <w:t>亿元，</w:t>
      </w:r>
      <w:r>
        <w:rPr>
          <w:rFonts w:ascii="仿宋" w:hAnsi="仿宋" w:eastAsia="仿宋" w:cs="Times New Roman"/>
          <w:sz w:val="32"/>
          <w:szCs w:val="32"/>
        </w:rPr>
        <w:t>参考Shibor_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O/N</w:t>
      </w:r>
      <w:r>
        <w:rPr>
          <w:rFonts w:ascii="仿宋" w:hAnsi="仿宋" w:eastAsia="仿宋" w:cs="Times New Roman"/>
          <w:sz w:val="32"/>
          <w:szCs w:val="32"/>
        </w:rPr>
        <w:t>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127.8</w:t>
      </w:r>
      <w:r>
        <w:rPr>
          <w:rFonts w:hint="eastAsia" w:ascii="仿宋" w:hAnsi="仿宋" w:eastAsia="仿宋" w:cs="Times New Roman"/>
          <w:sz w:val="32"/>
          <w:szCs w:val="32"/>
        </w:rPr>
        <w:t>亿元，</w:t>
      </w:r>
      <w:r>
        <w:rPr>
          <w:rFonts w:ascii="仿宋" w:hAnsi="仿宋" w:eastAsia="仿宋" w:cs="Times New Roman"/>
          <w:sz w:val="32"/>
          <w:szCs w:val="32"/>
        </w:rPr>
        <w:t>参考LPR_1Y的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657.8</w:t>
      </w:r>
      <w:r>
        <w:rPr>
          <w:rFonts w:hint="eastAsia" w:ascii="仿宋" w:hAnsi="仿宋" w:eastAsia="仿宋" w:cs="Times New Roman"/>
          <w:sz w:val="32"/>
          <w:szCs w:val="32"/>
        </w:rPr>
        <w:t>亿元；</w:t>
      </w:r>
      <w:r>
        <w:rPr>
          <w:rFonts w:ascii="仿宋" w:hAnsi="仿宋" w:eastAsia="仿宋" w:cs="Times New Roman"/>
          <w:sz w:val="32"/>
          <w:szCs w:val="32"/>
        </w:rPr>
        <w:t>参考相关</w:t>
      </w:r>
      <w:r>
        <w:rPr>
          <w:rFonts w:hint="eastAsia" w:ascii="仿宋" w:hAnsi="仿宋" w:eastAsia="仿宋"/>
          <w:sz w:val="32"/>
          <w:szCs w:val="32"/>
        </w:rPr>
        <w:t>同业存单发行利率的</w:t>
      </w:r>
      <w:r>
        <w:rPr>
          <w:rFonts w:hint="eastAsia" w:ascii="仿宋" w:hAnsi="仿宋" w:eastAsia="仿宋" w:cs="Times New Roman"/>
          <w:sz w:val="32"/>
          <w:szCs w:val="30"/>
        </w:rPr>
        <w:t>标准利率互换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6.2</w:t>
      </w:r>
      <w:r>
        <w:rPr>
          <w:rFonts w:ascii="仿宋" w:hAnsi="仿宋" w:eastAsia="仿宋" w:cs="Times New Roman"/>
          <w:sz w:val="32"/>
          <w:szCs w:val="32"/>
        </w:rPr>
        <w:t>万</w:t>
      </w:r>
      <w:r>
        <w:rPr>
          <w:rFonts w:hint="eastAsia" w:ascii="仿宋" w:hAnsi="仿宋" w:eastAsia="仿宋" w:cs="Times New Roman"/>
          <w:sz w:val="32"/>
          <w:szCs w:val="32"/>
        </w:rPr>
        <w:t>亿元</w:t>
      </w:r>
      <w:r>
        <w:rPr>
          <w:rFonts w:ascii="仿宋" w:hAnsi="仿宋" w:eastAsia="仿宋" w:cs="Times New Roman"/>
          <w:sz w:val="32"/>
          <w:szCs w:val="32"/>
        </w:rPr>
        <w:t>。</w:t>
      </w:r>
      <w:r>
        <w:rPr>
          <w:rFonts w:hint="eastAsia" w:ascii="仿宋" w:hAnsi="仿宋" w:eastAsia="仿宋" w:cs="Times New Roman"/>
          <w:sz w:val="32"/>
          <w:szCs w:val="30"/>
        </w:rPr>
        <w:t xml:space="preserve"> </w:t>
      </w:r>
    </w:p>
    <w:p w14:paraId="281EF275">
      <w:pPr>
        <w:widowControl/>
        <w:spacing w:line="360" w:lineRule="auto"/>
        <w:jc w:val="center"/>
        <w:rPr>
          <w:rFonts w:ascii="Times New Roman" w:hAnsi="Times New Roman" w:eastAsia="仿宋" w:cs="Times New Roman"/>
          <w:bCs/>
          <w:sz w:val="30"/>
          <w:szCs w:val="30"/>
          <w:shd w:val="pct10" w:color="auto" w:fill="FFFFFF"/>
        </w:rPr>
      </w:pPr>
      <w:r>
        <w:drawing>
          <wp:inline distT="0" distB="0" distL="114300" distR="114300">
            <wp:extent cx="5276215" cy="2596515"/>
            <wp:effectExtent l="0" t="0" r="1206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5A4F3">
      <w:pPr>
        <w:adjustRightInd w:val="0"/>
        <w:snapToGrid w:val="0"/>
        <w:spacing w:line="400" w:lineRule="exact"/>
        <w:jc w:val="center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28"/>
          <w:szCs w:val="30"/>
        </w:rPr>
        <w:t>图</w:t>
      </w:r>
      <w:r>
        <w:rPr>
          <w:rFonts w:hint="eastAsia" w:ascii="仿宋" w:hAnsi="仿宋" w:eastAsia="仿宋" w:cs="Times New Roman"/>
          <w:sz w:val="28"/>
          <w:szCs w:val="30"/>
          <w:lang w:val="en-US" w:eastAsia="zh-CN"/>
        </w:rPr>
        <w:t>2</w:t>
      </w:r>
      <w:r>
        <w:rPr>
          <w:rFonts w:ascii="仿宋" w:hAnsi="仿宋" w:eastAsia="仿宋" w:cs="Times New Roman"/>
          <w:sz w:val="28"/>
          <w:szCs w:val="30"/>
        </w:rPr>
        <w:t xml:space="preserve"> </w:t>
      </w:r>
      <w:r>
        <w:rPr>
          <w:rFonts w:hint="eastAsia" w:ascii="仿宋" w:hAnsi="仿宋" w:eastAsia="仿宋" w:cs="Times New Roman"/>
          <w:sz w:val="28"/>
          <w:szCs w:val="30"/>
        </w:rPr>
        <w:t>近</w:t>
      </w:r>
      <w:r>
        <w:rPr>
          <w:rFonts w:ascii="仿宋" w:hAnsi="仿宋" w:eastAsia="仿宋" w:cs="Times New Roman"/>
          <w:sz w:val="28"/>
          <w:szCs w:val="30"/>
        </w:rPr>
        <w:t>一年</w:t>
      </w:r>
      <w:r>
        <w:rPr>
          <w:rFonts w:hint="eastAsia" w:ascii="仿宋" w:hAnsi="仿宋" w:eastAsia="仿宋" w:cs="Times New Roman"/>
          <w:sz w:val="28"/>
          <w:szCs w:val="30"/>
        </w:rPr>
        <w:t>人民币利率互换集中清算规模</w:t>
      </w:r>
      <w:r>
        <w:rPr>
          <w:rFonts w:ascii="仿宋" w:hAnsi="仿宋" w:eastAsia="仿宋" w:cs="Times New Roman"/>
          <w:sz w:val="28"/>
          <w:szCs w:val="30"/>
        </w:rPr>
        <w:t>和</w:t>
      </w:r>
      <w:r>
        <w:rPr>
          <w:rFonts w:hint="eastAsia" w:ascii="仿宋" w:hAnsi="仿宋" w:eastAsia="仿宋" w:cs="Times New Roman"/>
          <w:sz w:val="28"/>
          <w:szCs w:val="30"/>
        </w:rPr>
        <w:t>存续规模月度变化</w:t>
      </w:r>
    </w:p>
    <w:p w14:paraId="5494AEF0">
      <w:pPr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2"/>
        </w:rPr>
        <w:t>2</w:t>
      </w:r>
      <w:r>
        <w:rPr>
          <w:rFonts w:ascii="仿宋" w:hAnsi="仿宋" w:eastAsia="仿宋" w:cs="Times New Roman"/>
          <w:sz w:val="32"/>
          <w:szCs w:val="32"/>
        </w:rPr>
        <w:t>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共清算</w:t>
      </w:r>
      <w:r>
        <w:rPr>
          <w:rFonts w:hint="eastAsia" w:ascii="仿宋" w:hAnsi="仿宋" w:eastAsia="仿宋" w:cs="Times New Roman"/>
          <w:sz w:val="32"/>
          <w:szCs w:val="30"/>
        </w:rPr>
        <w:t>“北向互换通”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6141</w:t>
      </w:r>
      <w:r>
        <w:rPr>
          <w:rFonts w:hint="eastAsia" w:ascii="仿宋" w:hAnsi="仿宋" w:eastAsia="仿宋" w:cs="Times New Roman"/>
          <w:sz w:val="32"/>
          <w:szCs w:val="30"/>
        </w:rPr>
        <w:t>笔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名义本金合计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34819.585</w:t>
      </w:r>
      <w:r>
        <w:rPr>
          <w:rFonts w:hint="eastAsia" w:ascii="仿宋" w:hAnsi="仿宋" w:eastAsia="仿宋" w:cs="Times New Roman"/>
          <w:sz w:val="32"/>
          <w:szCs w:val="30"/>
        </w:rPr>
        <w:t>亿元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。</w:t>
      </w:r>
      <w:r>
        <w:rPr>
          <w:rFonts w:hint="eastAsia" w:ascii="仿宋" w:hAnsi="仿宋" w:eastAsia="仿宋" w:cs="Times New Roman"/>
          <w:sz w:val="32"/>
          <w:szCs w:val="30"/>
        </w:rPr>
        <w:t>累计入市“北向互换通”境内报价商2</w:t>
      </w:r>
      <w:r>
        <w:rPr>
          <w:rFonts w:ascii="仿宋" w:hAnsi="仿宋" w:eastAsia="仿宋" w:cs="Times New Roman"/>
          <w:sz w:val="32"/>
          <w:szCs w:val="30"/>
        </w:rPr>
        <w:t>3</w:t>
      </w:r>
      <w:r>
        <w:rPr>
          <w:rFonts w:hint="eastAsia" w:ascii="仿宋" w:hAnsi="仿宋" w:eastAsia="仿宋" w:cs="Times New Roman"/>
          <w:sz w:val="32"/>
          <w:szCs w:val="30"/>
        </w:rPr>
        <w:t>家，境外投资者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98</w:t>
      </w:r>
      <w:r>
        <w:rPr>
          <w:rFonts w:hint="eastAsia" w:ascii="仿宋" w:hAnsi="仿宋" w:eastAsia="仿宋" w:cs="Times New Roman"/>
          <w:sz w:val="32"/>
          <w:szCs w:val="30"/>
        </w:rPr>
        <w:t>家。</w:t>
      </w:r>
    </w:p>
    <w:p w14:paraId="0F08B3B9">
      <w:pPr>
        <w:widowControl/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末，人民币利率互换集中清算业务共有综合清算会员</w:t>
      </w:r>
      <w:r>
        <w:rPr>
          <w:rFonts w:ascii="仿宋" w:hAnsi="仿宋" w:eastAsia="仿宋" w:cs="Times New Roman"/>
          <w:sz w:val="32"/>
          <w:szCs w:val="30"/>
        </w:rPr>
        <w:t>12</w:t>
      </w:r>
      <w:r>
        <w:rPr>
          <w:rFonts w:hint="eastAsia" w:ascii="仿宋" w:hAnsi="仿宋" w:eastAsia="仿宋" w:cs="Times New Roman"/>
          <w:sz w:val="32"/>
          <w:szCs w:val="30"/>
        </w:rPr>
        <w:t>家、普通清算会员</w:t>
      </w:r>
      <w:r>
        <w:rPr>
          <w:rFonts w:ascii="仿宋" w:hAnsi="仿宋" w:eastAsia="仿宋" w:cs="Times New Roman"/>
          <w:sz w:val="32"/>
          <w:szCs w:val="30"/>
        </w:rPr>
        <w:t>3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</w:t>
      </w:r>
      <w:r>
        <w:rPr>
          <w:rFonts w:hint="eastAsia" w:ascii="仿宋" w:hAnsi="仿宋" w:eastAsia="仿宋" w:cs="Times New Roman"/>
          <w:sz w:val="32"/>
          <w:szCs w:val="30"/>
        </w:rPr>
        <w:t>家、代理客户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301</w:t>
      </w:r>
      <w:r>
        <w:rPr>
          <w:rFonts w:hint="eastAsia" w:ascii="仿宋" w:hAnsi="仿宋" w:eastAsia="仿宋" w:cs="Times New Roman"/>
          <w:sz w:val="32"/>
          <w:szCs w:val="30"/>
        </w:rPr>
        <w:t>家。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2"/>
        </w:rPr>
        <w:t>通过综合清算会员代理清算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2.1</w:t>
      </w:r>
      <w:r>
        <w:rPr>
          <w:rFonts w:ascii="仿宋" w:hAnsi="仿宋" w:eastAsia="仿宋" w:cs="Times New Roman"/>
          <w:sz w:val="32"/>
          <w:szCs w:val="32"/>
        </w:rPr>
        <w:t>万</w:t>
      </w:r>
      <w:r>
        <w:rPr>
          <w:rFonts w:hint="eastAsia" w:ascii="仿宋" w:hAnsi="仿宋" w:eastAsia="仿宋" w:cs="Times New Roman"/>
          <w:sz w:val="32"/>
          <w:szCs w:val="32"/>
        </w:rPr>
        <w:t>笔，规模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3.28</w:t>
      </w:r>
      <w:r>
        <w:rPr>
          <w:rFonts w:ascii="仿宋" w:hAnsi="仿宋" w:eastAsia="仿宋" w:cs="Times New Roman"/>
          <w:sz w:val="32"/>
          <w:szCs w:val="32"/>
        </w:rPr>
        <w:t>万</w:t>
      </w:r>
      <w:r>
        <w:rPr>
          <w:rFonts w:hint="eastAsia" w:ascii="仿宋" w:hAnsi="仿宋" w:eastAsia="仿宋" w:cs="Times New Roman"/>
          <w:sz w:val="32"/>
          <w:szCs w:val="32"/>
        </w:rPr>
        <w:t>亿元，代理清算占比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4.8</w:t>
      </w:r>
      <w:r>
        <w:rPr>
          <w:rFonts w:ascii="仿宋" w:hAnsi="仿宋" w:eastAsia="仿宋" w:cs="Times New Roman"/>
          <w:sz w:val="32"/>
          <w:szCs w:val="32"/>
        </w:rPr>
        <w:t>%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2914F413">
      <w:pPr>
        <w:pStyle w:val="3"/>
        <w:adjustRightInd w:val="0"/>
        <w:snapToGrid w:val="0"/>
        <w:spacing w:line="580" w:lineRule="exact"/>
        <w:ind w:left="567"/>
        <w:rPr>
          <w:rFonts w:ascii="仿宋" w:hAnsi="仿宋"/>
          <w:b w:val="0"/>
          <w:sz w:val="32"/>
          <w:szCs w:val="30"/>
        </w:rPr>
      </w:pPr>
      <w:bookmarkStart w:id="0" w:name="OLE_LINK6"/>
      <w:bookmarkStart w:id="1" w:name="OLE_LINK5"/>
      <w:r>
        <w:rPr>
          <w:rFonts w:ascii="仿宋" w:hAnsi="仿宋"/>
          <w:b w:val="0"/>
          <w:sz w:val="32"/>
          <w:szCs w:val="30"/>
        </w:rPr>
        <w:t>2.</w:t>
      </w:r>
      <w:r>
        <w:rPr>
          <w:rFonts w:hint="eastAsia" w:ascii="仿宋" w:hAnsi="仿宋"/>
          <w:b w:val="0"/>
          <w:sz w:val="32"/>
          <w:szCs w:val="30"/>
        </w:rPr>
        <w:t>标准债券远期</w:t>
      </w:r>
    </w:p>
    <w:p w14:paraId="23E43600">
      <w:pPr>
        <w:adjustRightInd w:val="0"/>
        <w:snapToGrid w:val="0"/>
        <w:spacing w:line="580" w:lineRule="exact"/>
        <w:ind w:firstLine="601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清算标准债券远期交易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2122</w:t>
      </w:r>
      <w:r>
        <w:rPr>
          <w:rFonts w:hint="eastAsia" w:ascii="仿宋" w:hAnsi="仿宋" w:eastAsia="仿宋" w:cs="Times New Roman"/>
          <w:sz w:val="32"/>
          <w:szCs w:val="30"/>
        </w:rPr>
        <w:t>笔，名义本金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7934.1</w:t>
      </w:r>
      <w:r>
        <w:rPr>
          <w:rFonts w:hint="eastAsia" w:ascii="仿宋" w:hAnsi="仿宋" w:eastAsia="仿宋" w:cs="Times New Roman"/>
          <w:sz w:val="32"/>
          <w:szCs w:val="30"/>
        </w:rPr>
        <w:t>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182.1</w:t>
      </w:r>
      <w:r>
        <w:rPr>
          <w:rFonts w:hint="eastAsia" w:ascii="仿宋" w:hAnsi="仿宋" w:eastAsia="仿宋" w:cs="Times New Roman"/>
          <w:sz w:val="32"/>
          <w:szCs w:val="30"/>
        </w:rPr>
        <w:t>%。从标的类型看，参考国开债的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3488.7</w:t>
      </w:r>
      <w:r>
        <w:rPr>
          <w:rFonts w:hint="eastAsia" w:ascii="仿宋" w:hAnsi="仿宋" w:eastAsia="仿宋" w:cs="Times New Roman"/>
          <w:sz w:val="32"/>
          <w:szCs w:val="30"/>
        </w:rPr>
        <w:t>亿元，参考农发债的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4445.4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326BE60C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清算标准债券远期交易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9736</w:t>
      </w:r>
      <w:r>
        <w:rPr>
          <w:rFonts w:hint="eastAsia" w:ascii="仿宋" w:hAnsi="仿宋" w:eastAsia="仿宋" w:cs="Times New Roman"/>
          <w:sz w:val="32"/>
          <w:szCs w:val="30"/>
        </w:rPr>
        <w:t>笔，名义本金合计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3.3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130.7</w:t>
      </w:r>
      <w:r>
        <w:rPr>
          <w:rFonts w:hint="eastAsia" w:ascii="仿宋" w:hAnsi="仿宋" w:eastAsia="仿宋" w:cs="Times New Roman"/>
          <w:sz w:val="32"/>
          <w:szCs w:val="30"/>
        </w:rPr>
        <w:t>%。从标的类型看，参考国开债的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1.39万</w:t>
      </w:r>
      <w:r>
        <w:rPr>
          <w:rFonts w:hint="eastAsia" w:ascii="仿宋" w:hAnsi="仿宋" w:eastAsia="仿宋" w:cs="Times New Roman"/>
          <w:sz w:val="32"/>
          <w:szCs w:val="30"/>
        </w:rPr>
        <w:t>亿元，参考农发债的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1.91万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04F86137">
      <w:pPr>
        <w:adjustRightInd w:val="0"/>
        <w:snapToGrid w:val="0"/>
        <w:jc w:val="center"/>
        <w:rPr>
          <w:rFonts w:ascii="Times New Roman" w:hAnsi="Times New Roman" w:eastAsia="仿宋" w:cs="Times New Roman"/>
          <w:sz w:val="30"/>
          <w:szCs w:val="30"/>
        </w:rPr>
      </w:pPr>
      <w:r>
        <w:drawing>
          <wp:inline distT="0" distB="0" distL="114300" distR="114300">
            <wp:extent cx="5416550" cy="2942590"/>
            <wp:effectExtent l="0" t="0" r="889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2BC74B4">
      <w:pPr>
        <w:pStyle w:val="4"/>
        <w:spacing w:line="400" w:lineRule="exact"/>
        <w:jc w:val="center"/>
        <w:rPr>
          <w:rFonts w:ascii="仿宋" w:hAnsi="仿宋" w:eastAsia="仿宋" w:cs="Times New Roman"/>
          <w:sz w:val="28"/>
          <w:szCs w:val="30"/>
        </w:rPr>
      </w:pPr>
      <w:r>
        <w:rPr>
          <w:rFonts w:ascii="仿宋" w:hAnsi="仿宋" w:eastAsia="仿宋" w:cs="Times New Roman"/>
          <w:sz w:val="28"/>
          <w:szCs w:val="30"/>
        </w:rPr>
        <w:t>图</w:t>
      </w:r>
      <w:r>
        <w:rPr>
          <w:rFonts w:hint="eastAsia" w:ascii="仿宋" w:hAnsi="仿宋" w:eastAsia="仿宋" w:cs="Times New Roman"/>
          <w:sz w:val="28"/>
          <w:szCs w:val="30"/>
          <w:lang w:val="en-US" w:eastAsia="zh-CN"/>
        </w:rPr>
        <w:t>3</w:t>
      </w:r>
      <w:r>
        <w:rPr>
          <w:rFonts w:ascii="仿宋" w:hAnsi="仿宋" w:eastAsia="仿宋" w:cs="Times New Roman"/>
          <w:sz w:val="28"/>
          <w:szCs w:val="30"/>
        </w:rPr>
        <w:t xml:space="preserve"> 近一年</w:t>
      </w:r>
      <w:r>
        <w:rPr>
          <w:rFonts w:hint="eastAsia" w:ascii="仿宋" w:hAnsi="仿宋" w:eastAsia="仿宋" w:cs="Times New Roman"/>
          <w:sz w:val="28"/>
          <w:szCs w:val="30"/>
        </w:rPr>
        <w:t>标准</w:t>
      </w:r>
      <w:r>
        <w:rPr>
          <w:rFonts w:ascii="仿宋" w:hAnsi="仿宋" w:eastAsia="仿宋" w:cs="Times New Roman"/>
          <w:sz w:val="28"/>
          <w:szCs w:val="30"/>
        </w:rPr>
        <w:t>债券远期</w:t>
      </w:r>
      <w:r>
        <w:rPr>
          <w:rFonts w:hint="eastAsia" w:ascii="仿宋" w:hAnsi="仿宋" w:eastAsia="仿宋" w:cs="Times New Roman"/>
          <w:sz w:val="28"/>
          <w:szCs w:val="30"/>
        </w:rPr>
        <w:t>集中清算规模</w:t>
      </w:r>
      <w:r>
        <w:rPr>
          <w:rFonts w:ascii="仿宋" w:hAnsi="仿宋" w:eastAsia="仿宋" w:cs="Times New Roman"/>
          <w:sz w:val="28"/>
          <w:szCs w:val="30"/>
        </w:rPr>
        <w:t>和</w:t>
      </w:r>
      <w:r>
        <w:rPr>
          <w:rFonts w:hint="eastAsia" w:ascii="仿宋" w:hAnsi="仿宋" w:eastAsia="仿宋" w:cs="Times New Roman"/>
          <w:sz w:val="28"/>
          <w:szCs w:val="30"/>
        </w:rPr>
        <w:t>存续规模月度变化</w:t>
      </w:r>
    </w:p>
    <w:p w14:paraId="02D5ED91">
      <w:pPr>
        <w:widowControl/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末，标准债券远期集中清算业务共有综合清算会员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</w:t>
      </w:r>
      <w:r>
        <w:rPr>
          <w:rFonts w:hint="eastAsia" w:ascii="仿宋" w:hAnsi="仿宋" w:eastAsia="仿宋" w:cs="Times New Roman"/>
          <w:sz w:val="32"/>
          <w:szCs w:val="30"/>
        </w:rPr>
        <w:t>家、普通清算会员</w:t>
      </w:r>
      <w:r>
        <w:rPr>
          <w:rFonts w:ascii="仿宋" w:hAnsi="仿宋" w:eastAsia="仿宋" w:cs="Times New Roman"/>
          <w:sz w:val="32"/>
          <w:szCs w:val="30"/>
        </w:rPr>
        <w:t>4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</w:t>
      </w:r>
      <w:r>
        <w:rPr>
          <w:rFonts w:hint="eastAsia" w:ascii="仿宋" w:hAnsi="仿宋" w:eastAsia="仿宋" w:cs="Times New Roman"/>
          <w:sz w:val="32"/>
          <w:szCs w:val="30"/>
        </w:rPr>
        <w:t>家、代理客户</w:t>
      </w:r>
      <w:r>
        <w:rPr>
          <w:rFonts w:ascii="仿宋" w:hAnsi="仿宋" w:eastAsia="仿宋" w:cs="Times New Roman"/>
          <w:sz w:val="32"/>
          <w:szCs w:val="30"/>
        </w:rPr>
        <w:t>5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0"/>
        </w:rPr>
        <w:t>家。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通过综合清算会员代理清算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1223</w:t>
      </w:r>
      <w:r>
        <w:rPr>
          <w:rFonts w:hint="eastAsia" w:ascii="仿宋" w:hAnsi="仿宋" w:eastAsia="仿宋" w:cs="Times New Roman"/>
          <w:sz w:val="32"/>
          <w:szCs w:val="30"/>
        </w:rPr>
        <w:t>笔，规模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5032.7</w:t>
      </w:r>
      <w:r>
        <w:rPr>
          <w:rFonts w:hint="eastAsia" w:ascii="仿宋" w:hAnsi="仿宋" w:eastAsia="仿宋" w:cs="Times New Roman"/>
          <w:sz w:val="32"/>
          <w:szCs w:val="30"/>
        </w:rPr>
        <w:t>亿元，代理清算占比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7.6</w:t>
      </w:r>
      <w:r>
        <w:rPr>
          <w:rFonts w:hint="eastAsia" w:ascii="仿宋" w:hAnsi="仿宋" w:eastAsia="仿宋" w:cs="Times New Roman"/>
          <w:sz w:val="32"/>
          <w:szCs w:val="30"/>
        </w:rPr>
        <w:t>%。</w:t>
      </w:r>
    </w:p>
    <w:bookmarkEnd w:id="0"/>
    <w:bookmarkEnd w:id="1"/>
    <w:p w14:paraId="640794C9">
      <w:pPr>
        <w:pStyle w:val="3"/>
        <w:numPr>
          <w:ilvl w:val="0"/>
          <w:numId w:val="4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外汇</w:t>
      </w:r>
    </w:p>
    <w:p w14:paraId="54405C47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清算外汇交易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31.08</w:t>
      </w:r>
      <w:r>
        <w:rPr>
          <w:rFonts w:hint="eastAsia" w:ascii="仿宋" w:hAnsi="仿宋" w:eastAsia="仿宋" w:cs="Times New Roman"/>
          <w:sz w:val="32"/>
          <w:szCs w:val="30"/>
        </w:rPr>
        <w:t>万笔，规模（折合人民币）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16.3</w:t>
      </w:r>
      <w:r>
        <w:rPr>
          <w:rFonts w:hint="eastAsia" w:ascii="仿宋" w:hAnsi="仿宋" w:eastAsia="仿宋" w:cs="Times New Roman"/>
          <w:sz w:val="32"/>
          <w:szCs w:val="30"/>
        </w:rPr>
        <w:t>万亿元，同比增长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6.1</w:t>
      </w:r>
      <w:r>
        <w:rPr>
          <w:rFonts w:hint="eastAsia" w:ascii="仿宋" w:hAnsi="仿宋" w:eastAsia="仿宋" w:cs="Times New Roman"/>
          <w:sz w:val="32"/>
          <w:szCs w:val="30"/>
        </w:rPr>
        <w:t>%。从产品类型看，外汇即期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6.33</w:t>
      </w:r>
      <w:r>
        <w:rPr>
          <w:rFonts w:hint="eastAsia" w:ascii="仿宋" w:hAnsi="仿宋" w:eastAsia="仿宋" w:cs="Times New Roman"/>
          <w:sz w:val="32"/>
          <w:szCs w:val="30"/>
        </w:rPr>
        <w:t>万亿元，</w:t>
      </w:r>
      <w:r>
        <w:rPr>
          <w:rFonts w:ascii="仿宋" w:hAnsi="仿宋" w:eastAsia="仿宋" w:cs="Times New Roman"/>
          <w:sz w:val="32"/>
          <w:szCs w:val="30"/>
        </w:rPr>
        <w:t>外汇远期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508</w:t>
      </w:r>
      <w:r>
        <w:rPr>
          <w:rFonts w:hint="eastAsia" w:ascii="仿宋" w:hAnsi="仿宋" w:eastAsia="仿宋" w:cs="Times New Roman"/>
          <w:sz w:val="32"/>
          <w:szCs w:val="30"/>
        </w:rPr>
        <w:t>亿元，</w:t>
      </w:r>
      <w:r>
        <w:rPr>
          <w:rFonts w:ascii="仿宋" w:hAnsi="仿宋" w:eastAsia="仿宋" w:cs="Times New Roman"/>
          <w:sz w:val="32"/>
          <w:szCs w:val="30"/>
        </w:rPr>
        <w:t>外汇掉期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9.23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</w:t>
      </w:r>
      <w:r>
        <w:rPr>
          <w:rFonts w:ascii="仿宋" w:hAnsi="仿宋" w:eastAsia="仿宋" w:cs="Times New Roman"/>
          <w:sz w:val="32"/>
          <w:szCs w:val="30"/>
        </w:rPr>
        <w:t>外汇期权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6910.7</w:t>
      </w:r>
      <w:r>
        <w:rPr>
          <w:rFonts w:hint="eastAsia" w:ascii="仿宋" w:hAnsi="仿宋" w:eastAsia="仿宋" w:cs="Times New Roman"/>
          <w:sz w:val="32"/>
          <w:szCs w:val="30"/>
        </w:rPr>
        <w:t>亿元。从交易方式看，外汇竞价交易清算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880.66</w:t>
      </w:r>
      <w:r>
        <w:rPr>
          <w:rFonts w:hint="eastAsia" w:ascii="仿宋" w:hAnsi="仿宋" w:eastAsia="仿宋" w:cs="Times New Roman"/>
          <w:sz w:val="32"/>
          <w:szCs w:val="30"/>
        </w:rPr>
        <w:t>亿元，外汇询价及撮合交易中央对手清算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16.2</w:t>
      </w:r>
      <w:r>
        <w:rPr>
          <w:rFonts w:hint="eastAsia" w:ascii="仿宋" w:hAnsi="仿宋" w:eastAsia="仿宋" w:cs="Times New Roman"/>
          <w:sz w:val="32"/>
          <w:szCs w:val="30"/>
        </w:rPr>
        <w:t>万亿元。</w:t>
      </w:r>
    </w:p>
    <w:p w14:paraId="6DADD499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hint="eastAsia" w:ascii="仿宋" w:hAnsi="仿宋" w:eastAsia="仿宋" w:cs="Times New Roman"/>
          <w:sz w:val="32"/>
          <w:szCs w:val="30"/>
        </w:rPr>
        <w:t>清算外汇交易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172.49</w:t>
      </w:r>
      <w:r>
        <w:rPr>
          <w:rFonts w:hint="eastAsia" w:ascii="仿宋" w:hAnsi="仿宋" w:eastAsia="仿宋" w:cs="Times New Roman"/>
          <w:sz w:val="32"/>
          <w:szCs w:val="30"/>
        </w:rPr>
        <w:t>万笔，规模合计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89.1</w:t>
      </w:r>
      <w:r>
        <w:rPr>
          <w:rFonts w:hint="eastAsia" w:ascii="仿宋" w:hAnsi="仿宋" w:eastAsia="仿宋" w:cs="Times New Roman"/>
          <w:sz w:val="32"/>
          <w:szCs w:val="30"/>
        </w:rPr>
        <w:t>万亿元，同比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下降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0.3</w:t>
      </w:r>
      <w:r>
        <w:rPr>
          <w:rFonts w:hint="eastAsia" w:ascii="仿宋" w:hAnsi="仿宋" w:eastAsia="仿宋" w:cs="Times New Roman"/>
          <w:sz w:val="32"/>
          <w:szCs w:val="30"/>
        </w:rPr>
        <w:t>%。从产品类型看，外汇即期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35.19</w:t>
      </w:r>
      <w:r>
        <w:rPr>
          <w:rFonts w:hint="eastAsia" w:ascii="仿宋" w:hAnsi="仿宋" w:eastAsia="仿宋" w:cs="Times New Roman"/>
          <w:sz w:val="32"/>
          <w:szCs w:val="30"/>
        </w:rPr>
        <w:t>万亿元，</w:t>
      </w:r>
      <w:r>
        <w:rPr>
          <w:rFonts w:ascii="仿宋" w:hAnsi="仿宋" w:eastAsia="仿宋" w:cs="Times New Roman"/>
          <w:sz w:val="32"/>
          <w:szCs w:val="30"/>
        </w:rPr>
        <w:t>外汇远期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3312.57</w:t>
      </w:r>
      <w:r>
        <w:rPr>
          <w:rFonts w:hint="eastAsia" w:ascii="仿宋" w:hAnsi="仿宋" w:eastAsia="仿宋" w:cs="Times New Roman"/>
          <w:sz w:val="32"/>
          <w:szCs w:val="30"/>
        </w:rPr>
        <w:t>亿元，</w:t>
      </w:r>
      <w:r>
        <w:rPr>
          <w:rFonts w:ascii="仿宋" w:hAnsi="仿宋" w:eastAsia="仿宋" w:cs="Times New Roman"/>
          <w:sz w:val="32"/>
          <w:szCs w:val="30"/>
        </w:rPr>
        <w:t>外汇掉期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49.66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</w:t>
      </w:r>
      <w:r>
        <w:rPr>
          <w:rFonts w:ascii="仿宋" w:hAnsi="仿宋" w:eastAsia="仿宋" w:cs="Times New Roman"/>
          <w:sz w:val="32"/>
          <w:szCs w:val="30"/>
        </w:rPr>
        <w:t>外汇期权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3.91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亿元。从交易方式看，外汇竞价交易清算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4727.2</w:t>
      </w:r>
      <w:r>
        <w:rPr>
          <w:rFonts w:hint="eastAsia" w:ascii="仿宋" w:hAnsi="仿宋" w:eastAsia="仿宋" w:cs="Times New Roman"/>
          <w:sz w:val="32"/>
          <w:szCs w:val="30"/>
        </w:rPr>
        <w:t>亿元，外汇询价及撮合交易中央对手清算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88.62</w:t>
      </w:r>
      <w:r>
        <w:rPr>
          <w:rFonts w:hint="eastAsia" w:ascii="仿宋" w:hAnsi="仿宋" w:eastAsia="仿宋" w:cs="Times New Roman"/>
          <w:sz w:val="32"/>
          <w:szCs w:val="30"/>
        </w:rPr>
        <w:t>万亿元。</w:t>
      </w:r>
    </w:p>
    <w:p w14:paraId="3B8B3757">
      <w:pPr>
        <w:adjustRightInd w:val="0"/>
        <w:snapToGrid w:val="0"/>
        <w:jc w:val="center"/>
        <w:rPr>
          <w:rFonts w:ascii="Times New Roman" w:hAnsi="Times New Roman" w:eastAsia="仿宋" w:cs="Times New Roman"/>
          <w:sz w:val="24"/>
          <w:szCs w:val="30"/>
        </w:rPr>
      </w:pPr>
      <w:r>
        <w:drawing>
          <wp:inline distT="0" distB="0" distL="114300" distR="114300">
            <wp:extent cx="5539105" cy="2688590"/>
            <wp:effectExtent l="0" t="0" r="825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D51F1">
      <w:pPr>
        <w:spacing w:line="360" w:lineRule="exact"/>
        <w:jc w:val="center"/>
        <w:rPr>
          <w:rFonts w:ascii="仿宋" w:hAnsi="仿宋" w:eastAsia="仿宋" w:cs="Times New Roman"/>
          <w:sz w:val="28"/>
          <w:szCs w:val="30"/>
        </w:rPr>
      </w:pPr>
      <w:r>
        <w:rPr>
          <w:rFonts w:hint="eastAsia" w:ascii="仿宋" w:hAnsi="仿宋" w:eastAsia="仿宋" w:cs="Times New Roman"/>
          <w:sz w:val="28"/>
          <w:szCs w:val="30"/>
        </w:rPr>
        <w:t>图</w:t>
      </w:r>
      <w:r>
        <w:rPr>
          <w:rFonts w:hint="eastAsia" w:ascii="仿宋" w:hAnsi="仿宋" w:eastAsia="仿宋" w:cs="Times New Roman"/>
          <w:sz w:val="28"/>
          <w:szCs w:val="30"/>
          <w:lang w:val="en-US" w:eastAsia="zh-CN"/>
        </w:rPr>
        <w:t>4</w:t>
      </w:r>
      <w:r>
        <w:rPr>
          <w:rFonts w:ascii="仿宋" w:hAnsi="仿宋" w:eastAsia="仿宋" w:cs="Times New Roman"/>
          <w:sz w:val="28"/>
          <w:szCs w:val="30"/>
        </w:rPr>
        <w:t xml:space="preserve"> </w:t>
      </w:r>
      <w:r>
        <w:rPr>
          <w:rFonts w:hint="eastAsia" w:ascii="仿宋" w:hAnsi="仿宋" w:eastAsia="仿宋" w:cs="Times New Roman"/>
          <w:sz w:val="28"/>
          <w:szCs w:val="30"/>
        </w:rPr>
        <w:t>近一年各外汇产品中央对手清算规模和存续规模月度变化</w:t>
      </w:r>
    </w:p>
    <w:p w14:paraId="3A295A0A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22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末，人民币外汇交易中央对手清算业务共有综合清算会员</w:t>
      </w:r>
      <w:r>
        <w:rPr>
          <w:rFonts w:ascii="仿宋" w:hAnsi="仿宋" w:eastAsia="仿宋" w:cs="Times New Roman"/>
          <w:sz w:val="32"/>
          <w:szCs w:val="30"/>
        </w:rPr>
        <w:t>9家、普通清算会员4</w:t>
      </w:r>
      <w:r>
        <w:rPr>
          <w:rFonts w:hint="eastAsia" w:ascii="仿宋" w:hAnsi="仿宋" w:eastAsia="仿宋" w:cs="Times New Roman"/>
          <w:sz w:val="32"/>
          <w:szCs w:val="30"/>
        </w:rPr>
        <w:t>1家、代理客户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50</w:t>
      </w:r>
      <w:r>
        <w:rPr>
          <w:rFonts w:hint="eastAsia" w:ascii="仿宋" w:hAnsi="仿宋" w:eastAsia="仿宋" w:cs="Times New Roman"/>
          <w:sz w:val="32"/>
          <w:szCs w:val="30"/>
        </w:rPr>
        <w:t>家；</w:t>
      </w:r>
      <w:r>
        <w:rPr>
          <w:rFonts w:ascii="仿宋" w:hAnsi="仿宋" w:eastAsia="仿宋" w:cs="Times New Roman"/>
          <w:sz w:val="32"/>
          <w:szCs w:val="30"/>
        </w:rPr>
        <w:t>外币</w:t>
      </w:r>
      <w:r>
        <w:rPr>
          <w:rFonts w:hint="eastAsia" w:ascii="仿宋" w:hAnsi="仿宋" w:eastAsia="仿宋" w:cs="Times New Roman"/>
          <w:sz w:val="32"/>
          <w:szCs w:val="30"/>
        </w:rPr>
        <w:t>对交易中央对手清算业务共有综合清算会员</w:t>
      </w:r>
      <w:r>
        <w:rPr>
          <w:rFonts w:ascii="仿宋" w:hAnsi="仿宋" w:eastAsia="仿宋" w:cs="Times New Roman"/>
          <w:sz w:val="32"/>
          <w:szCs w:val="30"/>
        </w:rPr>
        <w:t>5</w:t>
      </w:r>
      <w:r>
        <w:rPr>
          <w:rFonts w:hint="eastAsia" w:ascii="仿宋" w:hAnsi="仿宋" w:eastAsia="仿宋" w:cs="Times New Roman"/>
          <w:sz w:val="32"/>
          <w:szCs w:val="30"/>
        </w:rPr>
        <w:t>家、普通清算会员</w:t>
      </w:r>
      <w:r>
        <w:rPr>
          <w:rFonts w:ascii="仿宋" w:hAnsi="仿宋" w:eastAsia="仿宋" w:cs="Times New Roman"/>
          <w:sz w:val="32"/>
          <w:szCs w:val="30"/>
        </w:rPr>
        <w:t>1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0"/>
        </w:rPr>
        <w:t>家、代理客户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28</w:t>
      </w:r>
      <w:r>
        <w:rPr>
          <w:rFonts w:hint="eastAsia" w:ascii="仿宋" w:hAnsi="仿宋" w:eastAsia="仿宋" w:cs="Times New Roman"/>
          <w:sz w:val="32"/>
          <w:szCs w:val="30"/>
        </w:rPr>
        <w:t>家。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通过综合清算会员代理清算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43.08</w:t>
      </w:r>
      <w:r>
        <w:rPr>
          <w:rFonts w:hint="eastAsia" w:ascii="仿宋" w:hAnsi="仿宋" w:eastAsia="仿宋" w:cs="Times New Roman"/>
          <w:sz w:val="32"/>
          <w:szCs w:val="30"/>
        </w:rPr>
        <w:t>万笔，名义本金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19.73</w:t>
      </w:r>
      <w:r>
        <w:rPr>
          <w:rFonts w:hint="eastAsia" w:ascii="仿宋" w:hAnsi="仿宋" w:eastAsia="仿宋" w:cs="Times New Roman"/>
          <w:sz w:val="32"/>
          <w:szCs w:val="30"/>
        </w:rPr>
        <w:t>万亿元，代理清算占比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11.1</w:t>
      </w:r>
      <w:r>
        <w:rPr>
          <w:rFonts w:ascii="仿宋" w:hAnsi="仿宋" w:eastAsia="仿宋" w:cs="Times New Roman"/>
          <w:sz w:val="32"/>
          <w:szCs w:val="30"/>
        </w:rPr>
        <w:t>%。</w:t>
      </w:r>
    </w:p>
    <w:p w14:paraId="67472035">
      <w:pPr>
        <w:pStyle w:val="3"/>
        <w:numPr>
          <w:ilvl w:val="0"/>
          <w:numId w:val="4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大宗商品衍生品</w:t>
      </w:r>
    </w:p>
    <w:p w14:paraId="71FC5198"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Times New Roman"/>
          <w:sz w:val="32"/>
          <w:szCs w:val="30"/>
          <w:lang w:val="en-US" w:eastAsia="zh-CN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月</w:t>
      </w:r>
      <w:r>
        <w:rPr>
          <w:rFonts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</w:rPr>
        <w:t>大宗商品衍生品协议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3.45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手，规模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31.34</w:t>
      </w:r>
      <w:r>
        <w:rPr>
          <w:rFonts w:hint="eastAsia" w:ascii="仿宋" w:hAnsi="仿宋" w:eastAsia="仿宋" w:cs="Times New Roman"/>
          <w:sz w:val="32"/>
          <w:szCs w:val="30"/>
        </w:rPr>
        <w:t>亿元。从产品类型看，人民币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柴油</w:t>
      </w:r>
      <w:r>
        <w:rPr>
          <w:rFonts w:hint="eastAsia" w:ascii="仿宋" w:hAnsi="仿宋" w:eastAsia="仿宋" w:cs="Times New Roman"/>
          <w:sz w:val="32"/>
          <w:szCs w:val="30"/>
        </w:rPr>
        <w:t>掉期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和人民币汽油</w:t>
      </w:r>
      <w:r>
        <w:rPr>
          <w:rFonts w:hint="eastAsia" w:ascii="仿宋" w:hAnsi="仿宋" w:eastAsia="仿宋" w:cs="Times New Roman"/>
          <w:sz w:val="32"/>
          <w:szCs w:val="30"/>
        </w:rPr>
        <w:t>掉期清算规模较大，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分别为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8.51</w:t>
      </w:r>
      <w:r>
        <w:rPr>
          <w:rFonts w:hint="eastAsia" w:ascii="仿宋" w:hAnsi="仿宋" w:eastAsia="仿宋" w:cs="Times New Roman"/>
          <w:sz w:val="32"/>
          <w:szCs w:val="30"/>
        </w:rPr>
        <w:t>亿元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7.02亿元。</w:t>
      </w:r>
    </w:p>
    <w:p w14:paraId="6AF650E4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中央对手</w:t>
      </w:r>
      <w:r>
        <w:rPr>
          <w:rFonts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</w:rPr>
        <w:t>大宗商品衍生品协议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15.38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手，规模合计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242.61</w:t>
      </w:r>
      <w:r>
        <w:rPr>
          <w:rFonts w:hint="eastAsia" w:ascii="仿宋" w:hAnsi="仿宋" w:eastAsia="仿宋" w:cs="Times New Roman"/>
          <w:sz w:val="32"/>
          <w:szCs w:val="30"/>
        </w:rPr>
        <w:t>亿元。其中，人民币对二甲苯（PX）掉期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和纯苯</w:t>
      </w:r>
      <w:r>
        <w:rPr>
          <w:rFonts w:hint="eastAsia" w:ascii="仿宋" w:hAnsi="仿宋" w:eastAsia="仿宋" w:cs="Times New Roman"/>
          <w:sz w:val="32"/>
          <w:szCs w:val="30"/>
        </w:rPr>
        <w:t>掉期清算规模较大，分别为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38.83</w:t>
      </w:r>
      <w:r>
        <w:rPr>
          <w:rFonts w:hint="eastAsia" w:ascii="仿宋" w:hAnsi="仿宋" w:eastAsia="仿宋" w:cs="Times New Roman"/>
          <w:sz w:val="32"/>
          <w:szCs w:val="30"/>
        </w:rPr>
        <w:t>亿元和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35.06</w:t>
      </w:r>
      <w:r>
        <w:rPr>
          <w:rFonts w:hint="eastAsia" w:ascii="仿宋" w:hAnsi="仿宋" w:eastAsia="仿宋" w:cs="Times New Roman"/>
          <w:sz w:val="32"/>
          <w:szCs w:val="30"/>
        </w:rPr>
        <w:t>亿元</w:t>
      </w:r>
      <w:r>
        <w:rPr>
          <w:rFonts w:ascii="仿宋" w:hAnsi="仿宋" w:eastAsia="仿宋" w:cs="Times New Roman"/>
          <w:sz w:val="32"/>
          <w:szCs w:val="30"/>
        </w:rPr>
        <w:t>。</w:t>
      </w:r>
    </w:p>
    <w:p w14:paraId="53CFFED9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末，大宗商品衍生品中央对手清算业务共有综合清算会员</w:t>
      </w:r>
      <w:r>
        <w:rPr>
          <w:rFonts w:ascii="仿宋" w:hAnsi="仿宋" w:eastAsia="仿宋" w:cs="Times New Roman"/>
          <w:sz w:val="32"/>
          <w:szCs w:val="30"/>
        </w:rPr>
        <w:t>7家、普通清算会员12</w:t>
      </w:r>
      <w:r>
        <w:rPr>
          <w:rFonts w:hint="eastAsia" w:ascii="仿宋" w:hAnsi="仿宋" w:eastAsia="仿宋" w:cs="Times New Roman"/>
          <w:sz w:val="32"/>
          <w:szCs w:val="30"/>
        </w:rPr>
        <w:t>家。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通过综合清算会员代理清算衍生品协议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3.17万</w:t>
      </w:r>
      <w:r>
        <w:rPr>
          <w:rFonts w:hint="eastAsia" w:ascii="仿宋" w:hAnsi="仿宋" w:eastAsia="仿宋" w:cs="Times New Roman"/>
          <w:sz w:val="32"/>
          <w:szCs w:val="30"/>
        </w:rPr>
        <w:t>手，规模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16.34</w:t>
      </w:r>
      <w:r>
        <w:rPr>
          <w:rFonts w:hint="eastAsia" w:ascii="仿宋" w:hAnsi="仿宋" w:eastAsia="仿宋" w:cs="Times New Roman"/>
          <w:sz w:val="32"/>
          <w:szCs w:val="30"/>
        </w:rPr>
        <w:t>亿元，代理清算占比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3.4</w:t>
      </w:r>
      <w:r>
        <w:rPr>
          <w:rFonts w:ascii="仿宋" w:hAnsi="仿宋" w:eastAsia="仿宋" w:cs="Times New Roman"/>
          <w:sz w:val="32"/>
          <w:szCs w:val="30"/>
        </w:rPr>
        <w:t>%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50AFA3C8">
      <w:pPr>
        <w:pStyle w:val="3"/>
        <w:numPr>
          <w:ilvl w:val="0"/>
          <w:numId w:val="4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信用衍生品</w:t>
      </w:r>
    </w:p>
    <w:p w14:paraId="337AB76F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0"/>
        </w:rPr>
        <w:t>，中央对手清算信用违约互换交易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6笔</w:t>
      </w:r>
      <w:r>
        <w:rPr>
          <w:rFonts w:hint="eastAsia" w:ascii="仿宋" w:hAnsi="仿宋" w:eastAsia="仿宋" w:cs="Times New Roman"/>
          <w:sz w:val="32"/>
          <w:szCs w:val="30"/>
        </w:rPr>
        <w:t>，名义本金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6.5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，中央对手清算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12</w:t>
      </w:r>
      <w:r>
        <w:rPr>
          <w:rFonts w:hint="eastAsia" w:ascii="仿宋" w:hAnsi="仿宋" w:eastAsia="仿宋" w:cs="Times New Roman"/>
          <w:sz w:val="32"/>
          <w:szCs w:val="30"/>
        </w:rPr>
        <w:t>笔信用违约互换交易，名义本金合计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10.8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7623206A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末，信用违约互换中央对手清算业务共有综合清算会员</w:t>
      </w:r>
      <w:r>
        <w:rPr>
          <w:rFonts w:ascii="仿宋" w:hAnsi="仿宋" w:eastAsia="仿宋" w:cs="Times New Roman"/>
          <w:sz w:val="32"/>
          <w:szCs w:val="30"/>
        </w:rPr>
        <w:t>5</w:t>
      </w:r>
      <w:r>
        <w:rPr>
          <w:rFonts w:hint="eastAsia" w:ascii="仿宋" w:hAnsi="仿宋" w:eastAsia="仿宋" w:cs="Times New Roman"/>
          <w:sz w:val="32"/>
          <w:szCs w:val="30"/>
        </w:rPr>
        <w:t>家、普通清算会员</w:t>
      </w:r>
      <w:r>
        <w:rPr>
          <w:rFonts w:ascii="仿宋" w:hAnsi="仿宋" w:eastAsia="仿宋" w:cs="Times New Roman"/>
          <w:sz w:val="32"/>
          <w:szCs w:val="30"/>
        </w:rPr>
        <w:t>2</w:t>
      </w:r>
      <w:r>
        <w:rPr>
          <w:rFonts w:hint="eastAsia" w:ascii="仿宋" w:hAnsi="仿宋" w:eastAsia="仿宋" w:cs="Times New Roman"/>
          <w:sz w:val="32"/>
          <w:szCs w:val="30"/>
        </w:rPr>
        <w:t>0家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、代理客户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2家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6D70BDD8">
      <w:pPr>
        <w:pStyle w:val="2"/>
        <w:numPr>
          <w:ilvl w:val="0"/>
          <w:numId w:val="2"/>
        </w:numPr>
        <w:adjustRightInd w:val="0"/>
        <w:snapToGrid w:val="0"/>
        <w:spacing w:before="0" w:after="0" w:line="580" w:lineRule="exact"/>
        <w:rPr>
          <w:rFonts w:ascii="黑体" w:hAnsi="黑体"/>
          <w:szCs w:val="30"/>
        </w:rPr>
      </w:pPr>
      <w:r>
        <w:rPr>
          <w:rFonts w:hint="eastAsia" w:ascii="黑体" w:hAnsi="黑体"/>
          <w:szCs w:val="30"/>
        </w:rPr>
        <w:t>其他集中清算产品</w:t>
      </w:r>
      <w:r>
        <w:rPr>
          <w:rFonts w:ascii="黑体" w:hAnsi="黑体"/>
          <w:szCs w:val="30"/>
        </w:rPr>
        <w:t>情况</w:t>
      </w:r>
    </w:p>
    <w:p w14:paraId="193000B5">
      <w:pPr>
        <w:pStyle w:val="3"/>
        <w:numPr>
          <w:ilvl w:val="0"/>
          <w:numId w:val="5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债券</w:t>
      </w:r>
    </w:p>
    <w:p w14:paraId="6197CF55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上海清算所</w:t>
      </w:r>
      <w:r>
        <w:rPr>
          <w:rFonts w:hint="eastAsia" w:ascii="仿宋" w:hAnsi="仿宋" w:eastAsia="仿宋" w:cs="Times New Roman"/>
          <w:sz w:val="32"/>
          <w:szCs w:val="30"/>
        </w:rPr>
        <w:t>全额清算债券交易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41.87</w:t>
      </w:r>
      <w:r>
        <w:rPr>
          <w:rFonts w:hint="eastAsia" w:ascii="仿宋" w:hAnsi="仿宋" w:eastAsia="仿宋" w:cs="Times New Roman"/>
          <w:sz w:val="32"/>
          <w:szCs w:val="30"/>
        </w:rPr>
        <w:t>万笔，债券面额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48</w:t>
      </w:r>
      <w:r>
        <w:rPr>
          <w:rFonts w:hint="eastAsia" w:ascii="仿宋" w:hAnsi="仿宋" w:eastAsia="仿宋" w:cs="Times New Roman"/>
          <w:sz w:val="32"/>
          <w:szCs w:val="30"/>
        </w:rPr>
        <w:t>万亿元。从产品类型看，债券现券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11.71</w:t>
      </w:r>
      <w:r>
        <w:rPr>
          <w:rFonts w:hint="eastAsia" w:ascii="仿宋" w:hAnsi="仿宋" w:eastAsia="仿宋" w:cs="Times New Roman"/>
          <w:sz w:val="32"/>
          <w:szCs w:val="30"/>
        </w:rPr>
        <w:t>万亿元，债券回购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35.7</w:t>
      </w:r>
      <w:r>
        <w:rPr>
          <w:rFonts w:hint="eastAsia" w:ascii="仿宋" w:hAnsi="仿宋" w:eastAsia="仿宋" w:cs="Times New Roman"/>
          <w:sz w:val="32"/>
          <w:szCs w:val="30"/>
        </w:rPr>
        <w:t>万亿元，债券分销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5297.73</w:t>
      </w:r>
      <w:r>
        <w:rPr>
          <w:rFonts w:hint="eastAsia" w:ascii="仿宋" w:hAnsi="仿宋" w:eastAsia="仿宋" w:cs="Times New Roman"/>
          <w:sz w:val="32"/>
          <w:szCs w:val="30"/>
        </w:rPr>
        <w:t>亿元，债券借贷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661.98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01B18DC5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共</w:t>
      </w:r>
      <w:r>
        <w:rPr>
          <w:rFonts w:hint="eastAsia" w:ascii="仿宋" w:hAnsi="仿宋" w:eastAsia="仿宋" w:cs="Times New Roman"/>
          <w:sz w:val="32"/>
          <w:szCs w:val="30"/>
        </w:rPr>
        <w:t>全额清算债券交易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235.75</w:t>
      </w:r>
      <w:r>
        <w:rPr>
          <w:rFonts w:hint="eastAsia" w:ascii="仿宋" w:hAnsi="仿宋" w:eastAsia="仿宋" w:cs="Times New Roman"/>
          <w:sz w:val="32"/>
          <w:szCs w:val="30"/>
        </w:rPr>
        <w:t>万笔，债券面额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310.3</w:t>
      </w:r>
      <w:r>
        <w:rPr>
          <w:rFonts w:hint="eastAsia" w:ascii="仿宋" w:hAnsi="仿宋" w:eastAsia="仿宋" w:cs="Times New Roman"/>
          <w:sz w:val="32"/>
          <w:szCs w:val="30"/>
        </w:rPr>
        <w:t>万亿元。从产品类型看，债券现券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57.9</w:t>
      </w:r>
      <w:r>
        <w:rPr>
          <w:rFonts w:hint="eastAsia" w:ascii="仿宋" w:hAnsi="仿宋" w:eastAsia="仿宋" w:cs="Times New Roman"/>
          <w:sz w:val="32"/>
          <w:szCs w:val="30"/>
        </w:rPr>
        <w:t>万亿元，占比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18.66</w:t>
      </w:r>
      <w:r>
        <w:rPr>
          <w:rFonts w:hint="eastAsia" w:ascii="仿宋" w:hAnsi="仿宋" w:eastAsia="仿宋" w:cs="Times New Roman"/>
          <w:sz w:val="32"/>
          <w:szCs w:val="30"/>
        </w:rPr>
        <w:t>%；债券回购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249.6</w:t>
      </w:r>
      <w:r>
        <w:rPr>
          <w:rFonts w:hint="eastAsia" w:ascii="仿宋" w:hAnsi="仿宋" w:eastAsia="仿宋" w:cs="Times New Roman"/>
          <w:sz w:val="32"/>
          <w:szCs w:val="30"/>
        </w:rPr>
        <w:t>万亿元，占比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80.44</w:t>
      </w:r>
      <w:r>
        <w:rPr>
          <w:rFonts w:hint="eastAsia" w:ascii="仿宋" w:hAnsi="仿宋" w:eastAsia="仿宋" w:cs="Times New Roman"/>
          <w:sz w:val="32"/>
          <w:szCs w:val="30"/>
        </w:rPr>
        <w:t>%；债券分销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2.37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亿元，占比</w:t>
      </w:r>
      <w:r>
        <w:rPr>
          <w:rFonts w:ascii="仿宋" w:hAnsi="仿宋" w:eastAsia="仿宋" w:cs="Times New Roman"/>
          <w:sz w:val="32"/>
          <w:szCs w:val="30"/>
        </w:rPr>
        <w:t>0.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76</w:t>
      </w:r>
      <w:r>
        <w:rPr>
          <w:rFonts w:hint="eastAsia" w:ascii="仿宋" w:hAnsi="仿宋" w:eastAsia="仿宋" w:cs="Times New Roman"/>
          <w:sz w:val="32"/>
          <w:szCs w:val="30"/>
        </w:rPr>
        <w:t>%；债券借贷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4202.1</w:t>
      </w:r>
      <w:r>
        <w:rPr>
          <w:rFonts w:hint="eastAsia" w:ascii="仿宋" w:hAnsi="仿宋" w:eastAsia="仿宋" w:cs="Times New Roman"/>
          <w:sz w:val="32"/>
          <w:szCs w:val="30"/>
        </w:rPr>
        <w:t>亿元，占比0</w:t>
      </w:r>
      <w:r>
        <w:rPr>
          <w:rFonts w:ascii="仿宋" w:hAnsi="仿宋" w:eastAsia="仿宋" w:cs="Times New Roman"/>
          <w:sz w:val="32"/>
          <w:szCs w:val="30"/>
        </w:rPr>
        <w:t>.1</w:t>
      </w:r>
      <w:r>
        <w:rPr>
          <w:rFonts w:hint="eastAsia" w:ascii="仿宋" w:hAnsi="仿宋" w:eastAsia="仿宋" w:cs="Times New Roman"/>
          <w:sz w:val="32"/>
          <w:szCs w:val="30"/>
        </w:rPr>
        <w:t>4%；债券远期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39.6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p w14:paraId="17F9D6D5">
      <w:pPr>
        <w:pStyle w:val="3"/>
        <w:numPr>
          <w:ilvl w:val="0"/>
          <w:numId w:val="5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外币回购</w:t>
      </w:r>
    </w:p>
    <w:p w14:paraId="44B147E1"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月，清算外币回购交易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525</w:t>
      </w:r>
      <w:r>
        <w:rPr>
          <w:rFonts w:hint="eastAsia" w:ascii="仿宋" w:hAnsi="仿宋" w:eastAsia="仿宋" w:cs="Times New Roman"/>
          <w:sz w:val="32"/>
          <w:szCs w:val="30"/>
        </w:rPr>
        <w:t>笔，相关债券抵押品</w:t>
      </w:r>
      <w:bookmarkStart w:id="2" w:name="_GoBack"/>
      <w:bookmarkEnd w:id="2"/>
      <w:r>
        <w:rPr>
          <w:rFonts w:hint="eastAsia" w:ascii="仿宋" w:hAnsi="仿宋" w:eastAsia="仿宋" w:cs="Times New Roman"/>
          <w:sz w:val="32"/>
          <w:szCs w:val="30"/>
        </w:rPr>
        <w:t>面额合计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3400.9</w:t>
      </w:r>
      <w:r>
        <w:rPr>
          <w:rFonts w:hint="eastAsia" w:ascii="仿宋" w:hAnsi="仿宋" w:eastAsia="仿宋" w:cs="Times New Roman"/>
          <w:sz w:val="32"/>
          <w:szCs w:val="30"/>
        </w:rPr>
        <w:t>亿元人民币。</w:t>
      </w:r>
    </w:p>
    <w:p w14:paraId="7DAA9440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  <w:highlight w:val="none"/>
        </w:rPr>
      </w:pP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共</w:t>
      </w:r>
      <w:r>
        <w:rPr>
          <w:rFonts w:hint="eastAsia" w:ascii="仿宋" w:hAnsi="仿宋" w:eastAsia="仿宋" w:cs="Times New Roman"/>
          <w:sz w:val="32"/>
          <w:szCs w:val="30"/>
        </w:rPr>
        <w:t>清算外币回购交易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2323</w:t>
      </w:r>
      <w:r>
        <w:rPr>
          <w:rFonts w:hint="eastAsia" w:ascii="仿宋" w:hAnsi="仿宋" w:eastAsia="仿宋" w:cs="Times New Roman"/>
          <w:sz w:val="32"/>
          <w:szCs w:val="30"/>
        </w:rPr>
        <w:t>笔，相关债券抵押品面额合计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1.34万</w:t>
      </w:r>
      <w:r>
        <w:rPr>
          <w:rFonts w:hint="eastAsia" w:ascii="仿宋" w:hAnsi="仿宋" w:eastAsia="仿宋" w:cs="Times New Roman"/>
          <w:sz w:val="32"/>
          <w:szCs w:val="30"/>
        </w:rPr>
        <w:t>亿元人民币。从产品类型看，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外币质押式回购抵押品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1.33万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亿元，外币买断式回购抵押品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133.65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亿元。</w:t>
      </w:r>
    </w:p>
    <w:p w14:paraId="0D4B2936">
      <w:pPr>
        <w:pStyle w:val="3"/>
        <w:numPr>
          <w:ilvl w:val="0"/>
          <w:numId w:val="5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人民币外汇双边</w:t>
      </w:r>
    </w:p>
    <w:p w14:paraId="09CE708A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月，双边清算人民币外汇交易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952</w:t>
      </w:r>
      <w:r>
        <w:rPr>
          <w:rFonts w:hint="eastAsia" w:ascii="仿宋" w:hAnsi="仿宋" w:eastAsia="仿宋" w:cs="Times New Roman"/>
          <w:sz w:val="32"/>
          <w:szCs w:val="30"/>
        </w:rPr>
        <w:t>笔，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规模</w:t>
      </w:r>
      <w:r>
        <w:rPr>
          <w:rFonts w:hint="eastAsia" w:ascii="仿宋" w:hAnsi="仿宋" w:eastAsia="仿宋" w:cs="Times New Roman"/>
          <w:sz w:val="32"/>
          <w:szCs w:val="30"/>
        </w:rPr>
        <w:t>（折合人民币）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2453.3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共</w:t>
      </w:r>
      <w:r>
        <w:rPr>
          <w:rFonts w:hint="eastAsia" w:ascii="仿宋" w:hAnsi="仿宋" w:eastAsia="仿宋" w:cs="Times New Roman"/>
          <w:sz w:val="32"/>
          <w:szCs w:val="30"/>
        </w:rPr>
        <w:t>双边清算人民币外汇交易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4813</w:t>
      </w:r>
      <w:r>
        <w:rPr>
          <w:rFonts w:hint="eastAsia" w:ascii="仿宋" w:hAnsi="仿宋" w:eastAsia="仿宋" w:cs="Times New Roman"/>
          <w:sz w:val="32"/>
          <w:szCs w:val="30"/>
        </w:rPr>
        <w:t>笔，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规模</w:t>
      </w:r>
      <w:r>
        <w:rPr>
          <w:rFonts w:hint="eastAsia" w:ascii="仿宋" w:hAnsi="仿宋" w:eastAsia="仿宋" w:cs="Times New Roman"/>
          <w:sz w:val="32"/>
          <w:szCs w:val="30"/>
        </w:rPr>
        <w:t>合计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1.46万</w:t>
      </w:r>
      <w:r>
        <w:rPr>
          <w:rFonts w:hint="eastAsia" w:ascii="仿宋" w:hAnsi="仿宋" w:eastAsia="仿宋" w:cs="Times New Roman"/>
          <w:sz w:val="32"/>
          <w:szCs w:val="30"/>
        </w:rPr>
        <w:t>亿元人民币。从产品类型看，外汇掉期交易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1.46万</w:t>
      </w:r>
      <w:r>
        <w:rPr>
          <w:rFonts w:hint="eastAsia" w:ascii="仿宋" w:hAnsi="仿宋" w:eastAsia="仿宋" w:cs="Times New Roman"/>
          <w:sz w:val="32"/>
          <w:szCs w:val="30"/>
        </w:rPr>
        <w:t>亿元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，外汇即期交易0.24亿元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0E5E3F7F">
      <w:pPr>
        <w:pStyle w:val="3"/>
        <w:numPr>
          <w:ilvl w:val="0"/>
          <w:numId w:val="5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大宗商品“</w:t>
      </w:r>
      <w:r>
        <w:rPr>
          <w:rFonts w:ascii="楷体" w:hAnsi="楷体" w:eastAsia="楷体" w:cs="Times New Roman"/>
          <w:b w:val="0"/>
          <w:sz w:val="32"/>
          <w:szCs w:val="30"/>
        </w:rPr>
        <w:t>清算通</w:t>
      </w:r>
      <w:r>
        <w:rPr>
          <w:rFonts w:hint="eastAsia" w:ascii="楷体" w:hAnsi="楷体" w:eastAsia="楷体" w:cs="Times New Roman"/>
          <w:b w:val="0"/>
          <w:sz w:val="32"/>
          <w:szCs w:val="30"/>
        </w:rPr>
        <w:t>”</w:t>
      </w:r>
    </w:p>
    <w:p w14:paraId="5D48AFD2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Times New Roman"/>
          <w:sz w:val="32"/>
          <w:szCs w:val="30"/>
          <w:highlight w:val="none"/>
        </w:rPr>
      </w:pPr>
      <w:r>
        <w:rPr>
          <w:rFonts w:hint="eastAsia"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月，清算大宗商品现货交易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9963</w:t>
      </w:r>
      <w:r>
        <w:rPr>
          <w:rFonts w:hint="eastAsia" w:ascii="仿宋" w:hAnsi="仿宋" w:eastAsia="仿宋" w:cs="Times New Roman"/>
          <w:sz w:val="32"/>
          <w:szCs w:val="30"/>
        </w:rPr>
        <w:t>笔，协议金额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266.7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共</w:t>
      </w:r>
      <w:r>
        <w:rPr>
          <w:rFonts w:hint="eastAsia" w:ascii="仿宋" w:hAnsi="仿宋" w:eastAsia="仿宋" w:cs="Times New Roman"/>
          <w:sz w:val="32"/>
          <w:szCs w:val="30"/>
        </w:rPr>
        <w:t>清算大宗商品现货交易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5.34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笔，协议金额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1774.7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从产品类型看，电解铜和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eastAsia="zh-CN"/>
        </w:rPr>
        <w:t>铝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锭规模较大，分别为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469.56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亿元和</w:t>
      </w:r>
      <w:r>
        <w:rPr>
          <w:rFonts w:hint="eastAsia" w:ascii="仿宋" w:hAnsi="仿宋" w:eastAsia="仿宋" w:cs="Times New Roman"/>
          <w:sz w:val="32"/>
          <w:szCs w:val="30"/>
          <w:highlight w:val="none"/>
          <w:lang w:val="en-US" w:eastAsia="zh-CN"/>
        </w:rPr>
        <w:t>449.19</w:t>
      </w:r>
      <w:r>
        <w:rPr>
          <w:rFonts w:hint="eastAsia" w:ascii="仿宋" w:hAnsi="仿宋" w:eastAsia="仿宋" w:cs="Times New Roman"/>
          <w:sz w:val="32"/>
          <w:szCs w:val="30"/>
          <w:highlight w:val="none"/>
        </w:rPr>
        <w:t>亿元。</w:t>
      </w:r>
    </w:p>
    <w:p w14:paraId="06E49640">
      <w:pPr>
        <w:pStyle w:val="3"/>
        <w:numPr>
          <w:ilvl w:val="0"/>
          <w:numId w:val="5"/>
        </w:numPr>
        <w:adjustRightInd w:val="0"/>
        <w:snapToGrid w:val="0"/>
        <w:spacing w:line="580" w:lineRule="exact"/>
        <w:rPr>
          <w:rFonts w:ascii="楷体" w:hAnsi="楷体" w:eastAsia="楷体" w:cs="Times New Roman"/>
          <w:b w:val="0"/>
          <w:sz w:val="32"/>
          <w:szCs w:val="30"/>
        </w:rPr>
      </w:pPr>
      <w:r>
        <w:rPr>
          <w:rFonts w:hint="eastAsia" w:ascii="楷体" w:hAnsi="楷体" w:eastAsia="楷体" w:cs="Times New Roman"/>
          <w:b w:val="0"/>
          <w:sz w:val="32"/>
          <w:szCs w:val="30"/>
        </w:rPr>
        <w:t>信用衍生品</w:t>
      </w:r>
    </w:p>
    <w:p w14:paraId="2F07AB77">
      <w:pPr>
        <w:adjustRightInd w:val="0"/>
        <w:snapToGrid w:val="0"/>
        <w:spacing w:line="580" w:lineRule="exact"/>
        <w:ind w:firstLine="640" w:firstLineChars="200"/>
      </w:pPr>
      <w:r>
        <w:rPr>
          <w:rFonts w:hint="eastAsia"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月，双边清算信用衍生品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交易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45</w:t>
      </w:r>
      <w:r>
        <w:rPr>
          <w:rFonts w:hint="eastAsia" w:ascii="仿宋" w:hAnsi="仿宋" w:eastAsia="仿宋" w:cs="Times New Roman"/>
          <w:sz w:val="32"/>
          <w:szCs w:val="30"/>
        </w:rPr>
        <w:t>笔，名义本金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30.1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共</w:t>
      </w:r>
      <w:r>
        <w:rPr>
          <w:rFonts w:hint="eastAsia" w:ascii="仿宋" w:hAnsi="仿宋" w:eastAsia="仿宋" w:cs="Times New Roman"/>
          <w:sz w:val="32"/>
          <w:szCs w:val="30"/>
        </w:rPr>
        <w:t>双边清算信用衍生品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212</w:t>
      </w:r>
      <w:r>
        <w:rPr>
          <w:rFonts w:hint="eastAsia" w:ascii="仿宋" w:hAnsi="仿宋" w:eastAsia="仿宋" w:cs="Times New Roman"/>
          <w:sz w:val="32"/>
          <w:szCs w:val="30"/>
        </w:rPr>
        <w:t>笔，名义本金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190.8</w:t>
      </w:r>
      <w:r>
        <w:rPr>
          <w:rFonts w:hint="eastAsia" w:ascii="仿宋" w:hAnsi="仿宋" w:eastAsia="仿宋" w:cs="Times New Roman"/>
          <w:sz w:val="32"/>
          <w:szCs w:val="30"/>
        </w:rPr>
        <w:t>亿元。从产品类型看，信用违约互换合约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168.03</w:t>
      </w:r>
      <w:r>
        <w:rPr>
          <w:rFonts w:hint="eastAsia" w:ascii="仿宋" w:hAnsi="仿宋" w:eastAsia="仿宋" w:cs="Times New Roman"/>
          <w:sz w:val="32"/>
          <w:szCs w:val="30"/>
        </w:rPr>
        <w:t>亿元，信用风险缓释凭证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22.77</w:t>
      </w:r>
      <w:r>
        <w:rPr>
          <w:rFonts w:hint="eastAsia" w:ascii="仿宋" w:hAnsi="仿宋" w:eastAsia="仿宋" w:cs="Times New Roman"/>
          <w:sz w:val="32"/>
          <w:szCs w:val="30"/>
        </w:rPr>
        <w:t>亿元。</w:t>
      </w:r>
    </w:p>
    <w:sectPr>
      <w:footerReference r:id="rId4" w:type="default"/>
      <w:footerReference r:id="rId5" w:type="even"/>
      <w:pgSz w:w="11906" w:h="16838"/>
      <w:pgMar w:top="1418" w:right="1588" w:bottom="1418" w:left="1588" w:header="567" w:footer="567" w:gutter="0"/>
      <w:pgNumType w:fmt="numberInDash" w:start="1"/>
      <w:cols w:space="425" w:num="1"/>
      <w:docGrid w:type="lines" w:linePitch="41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48C87">
    <w:pPr>
      <w:pStyle w:val="7"/>
      <w:wordWrap w:val="0"/>
      <w:jc w:val="right"/>
    </w:pPr>
    <w:sdt>
      <w:sdtPr>
        <w:id w:val="952134938"/>
      </w:sdt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sdtContent>
    </w:sdt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10355"/>
    </w:sdtPr>
    <w:sdtEndPr>
      <w:rPr>
        <w:rFonts w:asciiTheme="minorEastAsia" w:hAnsiTheme="minorEastAsia"/>
        <w:sz w:val="28"/>
        <w:szCs w:val="28"/>
      </w:rPr>
    </w:sdtEndPr>
    <w:sdtContent>
      <w:p w14:paraId="3D52F3F6">
        <w:pPr>
          <w:pStyle w:val="7"/>
          <w:ind w:firstLine="180" w:firstLineChars="10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10 -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66035E7E">
      <w:pPr>
        <w:pStyle w:val="9"/>
        <w:jc w:val="both"/>
        <w:rPr>
          <w:rFonts w:ascii="仿宋" w:hAnsi="仿宋" w:eastAsia="仿宋"/>
          <w:sz w:val="23"/>
          <w:szCs w:val="23"/>
        </w:rPr>
      </w:pPr>
      <w:r>
        <w:rPr>
          <w:rStyle w:val="14"/>
          <w:rFonts w:ascii="仿宋" w:hAnsi="仿宋" w:eastAsia="仿宋" w:cs="Times New Roman"/>
          <w:sz w:val="23"/>
          <w:szCs w:val="23"/>
        </w:rPr>
        <w:footnoteRef/>
      </w:r>
      <w:r>
        <w:rPr>
          <w:rFonts w:ascii="仿宋" w:hAnsi="仿宋" w:eastAsia="仿宋" w:cs="Times New Roman"/>
          <w:sz w:val="23"/>
          <w:szCs w:val="23"/>
        </w:rPr>
        <w:t xml:space="preserve"> </w:t>
      </w:r>
      <w:r>
        <w:rPr>
          <w:rFonts w:hint="eastAsia" w:ascii="仿宋" w:hAnsi="仿宋" w:eastAsia="仿宋"/>
          <w:sz w:val="23"/>
          <w:szCs w:val="23"/>
        </w:rPr>
        <w:t>集中清算业务，包括上海清算所以中央对手方式和以其他方式提供的集中清算服务。各产品清算规模包括：债券的面额，人民币利率互换、标准债券远期、外汇产品和信用衍生品的名义本金，大宗商品衍生品的协议金额，均按市场单边计。本报告中除特别说明外，如有总数与各分项数值之和尾数不一致的情况，均为四舍五入后的尾差。</w:t>
      </w:r>
    </w:p>
  </w:footnote>
  <w:footnote w:id="1">
    <w:p w14:paraId="683AB35C">
      <w:pPr>
        <w:pStyle w:val="9"/>
        <w:jc w:val="both"/>
        <w:rPr>
          <w:rFonts w:ascii="仿宋" w:hAnsi="仿宋" w:eastAsia="仿宋"/>
          <w:sz w:val="23"/>
          <w:szCs w:val="23"/>
        </w:rPr>
      </w:pPr>
      <w:r>
        <w:rPr>
          <w:rStyle w:val="14"/>
          <w:rFonts w:ascii="仿宋" w:hAnsi="仿宋" w:eastAsia="仿宋" w:cs="Times New Roman"/>
          <w:sz w:val="23"/>
          <w:szCs w:val="23"/>
        </w:rPr>
        <w:footnoteRef/>
      </w:r>
      <w:r>
        <w:rPr>
          <w:rFonts w:hint="eastAsia" w:ascii="仿宋" w:hAnsi="仿宋" w:eastAsia="仿宋"/>
          <w:sz w:val="23"/>
          <w:szCs w:val="23"/>
        </w:rPr>
        <w:t xml:space="preserve"> 代理清算占比</w:t>
      </w:r>
      <w:r>
        <w:rPr>
          <w:rFonts w:hint="eastAsia" w:ascii="仿宋" w:hAnsi="仿宋" w:eastAsia="仿宋" w:cs="Times New Roman"/>
          <w:sz w:val="23"/>
          <w:szCs w:val="23"/>
        </w:rPr>
        <w:t>，指</w:t>
      </w:r>
      <w:r>
        <w:rPr>
          <w:rFonts w:hint="eastAsia" w:ascii="仿宋" w:hAnsi="仿宋" w:eastAsia="仿宋"/>
          <w:sz w:val="23"/>
          <w:szCs w:val="23"/>
        </w:rPr>
        <w:t>某产品代理清算规模占该产品买卖双向合计的清算总规模的比例。</w:t>
      </w:r>
    </w:p>
  </w:footnote>
  <w:footnote w:id="2">
    <w:p w14:paraId="2EFFCC0E">
      <w:pPr>
        <w:pStyle w:val="9"/>
        <w:jc w:val="both"/>
      </w:pPr>
      <w:r>
        <w:rPr>
          <w:rStyle w:val="14"/>
          <w:rFonts w:ascii="仿宋" w:hAnsi="仿宋" w:eastAsia="仿宋" w:cs="Times New Roman"/>
          <w:sz w:val="23"/>
          <w:szCs w:val="23"/>
        </w:rPr>
        <w:footnoteRef/>
      </w:r>
      <w:r>
        <w:rPr>
          <w:rFonts w:ascii="仿宋" w:hAnsi="仿宋" w:eastAsia="仿宋"/>
          <w:sz w:val="23"/>
          <w:szCs w:val="23"/>
        </w:rPr>
        <w:t xml:space="preserve"> </w:t>
      </w:r>
      <w:r>
        <w:rPr>
          <w:rFonts w:hint="eastAsia" w:ascii="仿宋" w:hAnsi="仿宋" w:eastAsia="仿宋"/>
          <w:sz w:val="23"/>
          <w:szCs w:val="23"/>
        </w:rPr>
        <w:t>产品期末存续规模，指截至统计期末市场参与者已提交清算但尚未终止的</w:t>
      </w:r>
      <w:r>
        <w:rPr>
          <w:rFonts w:ascii="仿宋" w:hAnsi="仿宋" w:eastAsia="仿宋"/>
          <w:sz w:val="23"/>
          <w:szCs w:val="23"/>
        </w:rPr>
        <w:t>交易</w:t>
      </w:r>
      <w:r>
        <w:rPr>
          <w:rFonts w:hint="eastAsia" w:ascii="仿宋" w:hAnsi="仿宋" w:eastAsia="仿宋"/>
          <w:sz w:val="23"/>
          <w:szCs w:val="23"/>
        </w:rPr>
        <w:t>规模，按市场单边计算。</w:t>
      </w:r>
    </w:p>
  </w:footnote>
  <w:footnote w:id="3">
    <w:p w14:paraId="5EDDD753">
      <w:pPr>
        <w:pStyle w:val="9"/>
        <w:rPr>
          <w:rFonts w:ascii="仿宋" w:hAnsi="仿宋" w:eastAsia="仿宋"/>
          <w:sz w:val="23"/>
          <w:szCs w:val="23"/>
        </w:rPr>
      </w:pPr>
      <w:r>
        <w:rPr>
          <w:rStyle w:val="14"/>
          <w:rFonts w:ascii="仿宋" w:hAnsi="仿宋" w:eastAsia="仿宋"/>
          <w:sz w:val="23"/>
          <w:szCs w:val="23"/>
        </w:rPr>
        <w:footnoteRef/>
      </w:r>
      <w:r>
        <w:rPr>
          <w:rFonts w:ascii="仿宋" w:hAnsi="仿宋" w:eastAsia="仿宋"/>
          <w:sz w:val="23"/>
          <w:szCs w:val="23"/>
        </w:rPr>
        <w:t xml:space="preserve"> </w:t>
      </w:r>
      <w:r>
        <w:rPr>
          <w:rFonts w:hint="eastAsia" w:ascii="仿宋" w:hAnsi="仿宋" w:eastAsia="仿宋"/>
          <w:sz w:val="23"/>
          <w:szCs w:val="23"/>
        </w:rPr>
        <w:t>债券清算笔数口径为纳入中央对手清算的债券交易数量。</w:t>
      </w:r>
    </w:p>
  </w:footnote>
  <w:footnote w:id="4">
    <w:p w14:paraId="7F9A8535">
      <w:pPr>
        <w:pStyle w:val="9"/>
        <w:rPr>
          <w:rFonts w:ascii="仿宋" w:hAnsi="仿宋" w:eastAsia="仿宋"/>
          <w:sz w:val="23"/>
          <w:szCs w:val="23"/>
        </w:rPr>
      </w:pPr>
      <w:r>
        <w:rPr>
          <w:rStyle w:val="14"/>
          <w:rFonts w:ascii="仿宋" w:hAnsi="仿宋" w:eastAsia="仿宋"/>
          <w:sz w:val="23"/>
          <w:szCs w:val="23"/>
        </w:rPr>
        <w:footnoteRef/>
      </w:r>
      <w:r>
        <w:rPr>
          <w:rFonts w:ascii="仿宋" w:hAnsi="仿宋" w:eastAsia="仿宋"/>
          <w:sz w:val="23"/>
          <w:szCs w:val="23"/>
        </w:rPr>
        <w:t xml:space="preserve"> </w:t>
      </w:r>
      <w:r>
        <w:rPr>
          <w:rFonts w:hint="eastAsia" w:ascii="仿宋" w:hAnsi="仿宋" w:eastAsia="仿宋"/>
          <w:sz w:val="23"/>
          <w:szCs w:val="23"/>
        </w:rPr>
        <w:t>资金轧差率计算公式为：（轧差前金额–轧差后金额）/轧差前金额×</w:t>
      </w:r>
      <w:r>
        <w:rPr>
          <w:rFonts w:ascii="仿宋" w:hAnsi="仿宋" w:eastAsia="仿宋"/>
          <w:sz w:val="23"/>
          <w:szCs w:val="23"/>
        </w:rPr>
        <w:t>100%</w:t>
      </w:r>
      <w:r>
        <w:rPr>
          <w:rFonts w:hint="eastAsia" w:ascii="仿宋" w:hAnsi="仿宋" w:eastAsia="仿宋"/>
          <w:sz w:val="23"/>
          <w:szCs w:val="23"/>
        </w:rPr>
        <w:t>；轧差前金额，指纳入净额清算的现券金额与债券回购金额（含首期、到期）之和；轧差后金额，指经净额清算后最终结算的金额之和。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B1D3C"/>
    <w:multiLevelType w:val="multilevel"/>
    <w:tmpl w:val="0A4B1D3C"/>
    <w:lvl w:ilvl="0" w:tentative="0">
      <w:start w:val="1"/>
      <w:numFmt w:val="chineseCountingThousand"/>
      <w:lvlText w:val="(%1)"/>
      <w:lvlJc w:val="left"/>
      <w:pPr>
        <w:ind w:left="987" w:hanging="420"/>
      </w:pPr>
      <w:rPr>
        <w:rFonts w:hint="default" w:ascii="仿宋" w:hAnsi="仿宋" w:eastAsia="仿宋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1993553D"/>
    <w:multiLevelType w:val="multilevel"/>
    <w:tmpl w:val="1993553D"/>
    <w:lvl w:ilvl="0" w:tentative="0">
      <w:start w:val="1"/>
      <w:numFmt w:val="chineseCountingThousand"/>
      <w:lvlText w:val="%1、"/>
      <w:lvlJc w:val="left"/>
      <w:pPr>
        <w:ind w:left="987" w:hanging="420"/>
      </w:p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250433B3"/>
    <w:multiLevelType w:val="multilevel"/>
    <w:tmpl w:val="250433B3"/>
    <w:lvl w:ilvl="0" w:tentative="0">
      <w:start w:val="1"/>
      <w:numFmt w:val="chineseCountingThousand"/>
      <w:lvlText w:val="(%1)"/>
      <w:lvlJc w:val="left"/>
      <w:pPr>
        <w:ind w:left="987" w:hanging="420"/>
      </w:pPr>
      <w:rPr>
        <w:rFonts w:hint="default" w:ascii="楷体" w:hAnsi="楷体" w:eastAsia="楷体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3">
    <w:nsid w:val="3A8375B2"/>
    <w:multiLevelType w:val="multilevel"/>
    <w:tmpl w:val="3A8375B2"/>
    <w:lvl w:ilvl="0" w:tentative="0">
      <w:start w:val="1"/>
      <w:numFmt w:val="chineseCountingThousand"/>
      <w:lvlText w:val="(%1)"/>
      <w:lvlJc w:val="left"/>
      <w:pPr>
        <w:ind w:left="987" w:hanging="420"/>
      </w:pPr>
      <w:rPr>
        <w:rFonts w:hint="default" w:ascii="楷体" w:hAnsi="楷体" w:eastAsia="楷体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4">
    <w:nsid w:val="70554929"/>
    <w:multiLevelType w:val="multilevel"/>
    <w:tmpl w:val="70554929"/>
    <w:lvl w:ilvl="0" w:tentative="0">
      <w:start w:val="1"/>
      <w:numFmt w:val="bullet"/>
      <w:lvlText w:val=""/>
      <w:lvlJc w:val="left"/>
      <w:pPr>
        <w:ind w:left="561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81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1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1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1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1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1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1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1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hideSpellingErrors/>
  <w:hideGrammaticalErrors/>
  <w:trackRevisions w:val="1"/>
  <w:documentProtection w:enforcement="0"/>
  <w:defaultTabStop w:val="420"/>
  <w:evenAndOddHeaders w:val="1"/>
  <w:drawingGridHorizontalSpacing w:val="105"/>
  <w:drawingGridVerticalSpacing w:val="411"/>
  <w:displayHorizontalDrawingGridEvery w:val="1"/>
  <w:displayVerticalDrawingGridEvery w:val="1"/>
  <w:noPunctuationKerning w:val="1"/>
  <w:characterSpacingControl w:val="compressPunctuation"/>
  <w:footnotePr>
    <w:footnote w:id="10"/>
    <w:footnote w:id="1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wOGE5NmIxOTdlMjE3OTBjMWQ5OWNlNWM4MjI3YjkifQ=="/>
    <w:docVar w:name="KSO_WPS_MARK_KEY" w:val="23ff65b9-bd2a-49bf-aee9-7449e6eaabb6"/>
  </w:docVars>
  <w:rsids>
    <w:rsidRoot w:val="00E633C0"/>
    <w:rsid w:val="00000132"/>
    <w:rsid w:val="00000367"/>
    <w:rsid w:val="00000685"/>
    <w:rsid w:val="000006B2"/>
    <w:rsid w:val="0000091B"/>
    <w:rsid w:val="00000C10"/>
    <w:rsid w:val="00000CC0"/>
    <w:rsid w:val="000011B1"/>
    <w:rsid w:val="00001305"/>
    <w:rsid w:val="000013D2"/>
    <w:rsid w:val="0000172E"/>
    <w:rsid w:val="000019EE"/>
    <w:rsid w:val="00001C2A"/>
    <w:rsid w:val="000024ED"/>
    <w:rsid w:val="0000294B"/>
    <w:rsid w:val="00003A0E"/>
    <w:rsid w:val="00004B67"/>
    <w:rsid w:val="00004CC3"/>
    <w:rsid w:val="00004D9F"/>
    <w:rsid w:val="00005322"/>
    <w:rsid w:val="000057CC"/>
    <w:rsid w:val="00005807"/>
    <w:rsid w:val="00005B3C"/>
    <w:rsid w:val="00005C35"/>
    <w:rsid w:val="00005C67"/>
    <w:rsid w:val="00006603"/>
    <w:rsid w:val="000068BB"/>
    <w:rsid w:val="00006B85"/>
    <w:rsid w:val="00006D4B"/>
    <w:rsid w:val="00007240"/>
    <w:rsid w:val="00007381"/>
    <w:rsid w:val="00007903"/>
    <w:rsid w:val="00007AAC"/>
    <w:rsid w:val="00010167"/>
    <w:rsid w:val="0001033B"/>
    <w:rsid w:val="000104E7"/>
    <w:rsid w:val="00010A2D"/>
    <w:rsid w:val="00010A9E"/>
    <w:rsid w:val="00011086"/>
    <w:rsid w:val="00011359"/>
    <w:rsid w:val="00011590"/>
    <w:rsid w:val="00011724"/>
    <w:rsid w:val="000117F3"/>
    <w:rsid w:val="00011852"/>
    <w:rsid w:val="000124DF"/>
    <w:rsid w:val="0001294B"/>
    <w:rsid w:val="00012FA5"/>
    <w:rsid w:val="00013730"/>
    <w:rsid w:val="00013FAC"/>
    <w:rsid w:val="00014187"/>
    <w:rsid w:val="000142D2"/>
    <w:rsid w:val="00015203"/>
    <w:rsid w:val="0001556F"/>
    <w:rsid w:val="00015864"/>
    <w:rsid w:val="00015A8B"/>
    <w:rsid w:val="00015D2E"/>
    <w:rsid w:val="0001620C"/>
    <w:rsid w:val="00016384"/>
    <w:rsid w:val="000163A9"/>
    <w:rsid w:val="000164F7"/>
    <w:rsid w:val="0001662D"/>
    <w:rsid w:val="0001671C"/>
    <w:rsid w:val="00016B03"/>
    <w:rsid w:val="000170D1"/>
    <w:rsid w:val="000170D4"/>
    <w:rsid w:val="00017249"/>
    <w:rsid w:val="0001748E"/>
    <w:rsid w:val="0001781F"/>
    <w:rsid w:val="00017C6D"/>
    <w:rsid w:val="000204FD"/>
    <w:rsid w:val="00020536"/>
    <w:rsid w:val="00020996"/>
    <w:rsid w:val="00020CDD"/>
    <w:rsid w:val="00020E92"/>
    <w:rsid w:val="00021233"/>
    <w:rsid w:val="00021520"/>
    <w:rsid w:val="0002152D"/>
    <w:rsid w:val="00021D26"/>
    <w:rsid w:val="0002246C"/>
    <w:rsid w:val="00022637"/>
    <w:rsid w:val="000226BC"/>
    <w:rsid w:val="00022D1F"/>
    <w:rsid w:val="00023922"/>
    <w:rsid w:val="000240FA"/>
    <w:rsid w:val="0002410B"/>
    <w:rsid w:val="0002430D"/>
    <w:rsid w:val="00024538"/>
    <w:rsid w:val="00024579"/>
    <w:rsid w:val="0002510E"/>
    <w:rsid w:val="000252F1"/>
    <w:rsid w:val="000255A5"/>
    <w:rsid w:val="0002602E"/>
    <w:rsid w:val="00026AC4"/>
    <w:rsid w:val="00026C95"/>
    <w:rsid w:val="00026CD1"/>
    <w:rsid w:val="00026DCD"/>
    <w:rsid w:val="000271B2"/>
    <w:rsid w:val="000277A1"/>
    <w:rsid w:val="00027D63"/>
    <w:rsid w:val="00027FD7"/>
    <w:rsid w:val="0003066D"/>
    <w:rsid w:val="000307D9"/>
    <w:rsid w:val="00030F41"/>
    <w:rsid w:val="0003116E"/>
    <w:rsid w:val="000312AA"/>
    <w:rsid w:val="00031853"/>
    <w:rsid w:val="00031946"/>
    <w:rsid w:val="00032212"/>
    <w:rsid w:val="000323F6"/>
    <w:rsid w:val="0003242D"/>
    <w:rsid w:val="000329D3"/>
    <w:rsid w:val="00032FCB"/>
    <w:rsid w:val="000332F7"/>
    <w:rsid w:val="00033322"/>
    <w:rsid w:val="0003380D"/>
    <w:rsid w:val="00033A05"/>
    <w:rsid w:val="00033C3D"/>
    <w:rsid w:val="000340E0"/>
    <w:rsid w:val="00034207"/>
    <w:rsid w:val="0003434E"/>
    <w:rsid w:val="000343EE"/>
    <w:rsid w:val="000344E8"/>
    <w:rsid w:val="0003455A"/>
    <w:rsid w:val="00034A44"/>
    <w:rsid w:val="00034D3E"/>
    <w:rsid w:val="00035697"/>
    <w:rsid w:val="00035AA0"/>
    <w:rsid w:val="00036195"/>
    <w:rsid w:val="000366D5"/>
    <w:rsid w:val="0003670C"/>
    <w:rsid w:val="00036DDE"/>
    <w:rsid w:val="00036FDC"/>
    <w:rsid w:val="00040167"/>
    <w:rsid w:val="000401DF"/>
    <w:rsid w:val="00040BFF"/>
    <w:rsid w:val="0004127A"/>
    <w:rsid w:val="000414B2"/>
    <w:rsid w:val="0004160E"/>
    <w:rsid w:val="000418E2"/>
    <w:rsid w:val="00041E2F"/>
    <w:rsid w:val="00043101"/>
    <w:rsid w:val="00043161"/>
    <w:rsid w:val="00043952"/>
    <w:rsid w:val="00043BC3"/>
    <w:rsid w:val="00043C0E"/>
    <w:rsid w:val="0004431E"/>
    <w:rsid w:val="00044605"/>
    <w:rsid w:val="00044623"/>
    <w:rsid w:val="00044648"/>
    <w:rsid w:val="00044714"/>
    <w:rsid w:val="0004485C"/>
    <w:rsid w:val="0004498D"/>
    <w:rsid w:val="00044B1C"/>
    <w:rsid w:val="00046211"/>
    <w:rsid w:val="00046487"/>
    <w:rsid w:val="00046BA9"/>
    <w:rsid w:val="00046E75"/>
    <w:rsid w:val="00046FBE"/>
    <w:rsid w:val="000470B0"/>
    <w:rsid w:val="000471A0"/>
    <w:rsid w:val="000475BF"/>
    <w:rsid w:val="00047F1D"/>
    <w:rsid w:val="000503F6"/>
    <w:rsid w:val="0005124B"/>
    <w:rsid w:val="00051422"/>
    <w:rsid w:val="0005192B"/>
    <w:rsid w:val="00051AD6"/>
    <w:rsid w:val="00051B3D"/>
    <w:rsid w:val="00051E57"/>
    <w:rsid w:val="000521F5"/>
    <w:rsid w:val="00052492"/>
    <w:rsid w:val="00053346"/>
    <w:rsid w:val="00053684"/>
    <w:rsid w:val="00053D34"/>
    <w:rsid w:val="00053E1E"/>
    <w:rsid w:val="00054021"/>
    <w:rsid w:val="00054122"/>
    <w:rsid w:val="000542F8"/>
    <w:rsid w:val="000544DD"/>
    <w:rsid w:val="00054D93"/>
    <w:rsid w:val="000559BE"/>
    <w:rsid w:val="000559D1"/>
    <w:rsid w:val="0005608C"/>
    <w:rsid w:val="0005609F"/>
    <w:rsid w:val="00056572"/>
    <w:rsid w:val="00056747"/>
    <w:rsid w:val="00056B59"/>
    <w:rsid w:val="00056E7C"/>
    <w:rsid w:val="0005752F"/>
    <w:rsid w:val="0005774A"/>
    <w:rsid w:val="00057C9C"/>
    <w:rsid w:val="0006017F"/>
    <w:rsid w:val="00060713"/>
    <w:rsid w:val="00060C2A"/>
    <w:rsid w:val="00060DAE"/>
    <w:rsid w:val="0006172B"/>
    <w:rsid w:val="000625AE"/>
    <w:rsid w:val="000626DC"/>
    <w:rsid w:val="000627C5"/>
    <w:rsid w:val="00062A94"/>
    <w:rsid w:val="000637B7"/>
    <w:rsid w:val="00063948"/>
    <w:rsid w:val="00063A79"/>
    <w:rsid w:val="00063D7A"/>
    <w:rsid w:val="00064B6F"/>
    <w:rsid w:val="00064C3F"/>
    <w:rsid w:val="00064D61"/>
    <w:rsid w:val="00065043"/>
    <w:rsid w:val="00065200"/>
    <w:rsid w:val="000656F4"/>
    <w:rsid w:val="00066D44"/>
    <w:rsid w:val="00067637"/>
    <w:rsid w:val="00067F3D"/>
    <w:rsid w:val="00070DC7"/>
    <w:rsid w:val="00071123"/>
    <w:rsid w:val="000711D2"/>
    <w:rsid w:val="00071285"/>
    <w:rsid w:val="00071296"/>
    <w:rsid w:val="00071DEF"/>
    <w:rsid w:val="000726F2"/>
    <w:rsid w:val="00072B48"/>
    <w:rsid w:val="00072D94"/>
    <w:rsid w:val="00072EE7"/>
    <w:rsid w:val="00073C1B"/>
    <w:rsid w:val="00073DAD"/>
    <w:rsid w:val="0007402A"/>
    <w:rsid w:val="000742BF"/>
    <w:rsid w:val="0007475C"/>
    <w:rsid w:val="00074D1B"/>
    <w:rsid w:val="00075182"/>
    <w:rsid w:val="000753C9"/>
    <w:rsid w:val="0007551B"/>
    <w:rsid w:val="000756DA"/>
    <w:rsid w:val="000760C2"/>
    <w:rsid w:val="00077072"/>
    <w:rsid w:val="000771D3"/>
    <w:rsid w:val="00077490"/>
    <w:rsid w:val="00077687"/>
    <w:rsid w:val="00077FC1"/>
    <w:rsid w:val="00080053"/>
    <w:rsid w:val="00080FD6"/>
    <w:rsid w:val="00081AF8"/>
    <w:rsid w:val="00081B37"/>
    <w:rsid w:val="0008210D"/>
    <w:rsid w:val="00082158"/>
    <w:rsid w:val="000828CA"/>
    <w:rsid w:val="00082AC4"/>
    <w:rsid w:val="0008319C"/>
    <w:rsid w:val="000832D3"/>
    <w:rsid w:val="000838C0"/>
    <w:rsid w:val="00084068"/>
    <w:rsid w:val="00084255"/>
    <w:rsid w:val="000848FD"/>
    <w:rsid w:val="00084BD9"/>
    <w:rsid w:val="00084DC9"/>
    <w:rsid w:val="0008583C"/>
    <w:rsid w:val="00085B22"/>
    <w:rsid w:val="00085B87"/>
    <w:rsid w:val="00085CA7"/>
    <w:rsid w:val="000868E7"/>
    <w:rsid w:val="00086D60"/>
    <w:rsid w:val="0008700E"/>
    <w:rsid w:val="00090087"/>
    <w:rsid w:val="000906BD"/>
    <w:rsid w:val="00090FE5"/>
    <w:rsid w:val="00092101"/>
    <w:rsid w:val="00092189"/>
    <w:rsid w:val="00092822"/>
    <w:rsid w:val="00092A0D"/>
    <w:rsid w:val="00092E32"/>
    <w:rsid w:val="000931C5"/>
    <w:rsid w:val="00093413"/>
    <w:rsid w:val="000938B7"/>
    <w:rsid w:val="0009394E"/>
    <w:rsid w:val="00093B9E"/>
    <w:rsid w:val="00094243"/>
    <w:rsid w:val="0009458C"/>
    <w:rsid w:val="00095088"/>
    <w:rsid w:val="00095658"/>
    <w:rsid w:val="00095FC8"/>
    <w:rsid w:val="0009620D"/>
    <w:rsid w:val="0009668F"/>
    <w:rsid w:val="00096746"/>
    <w:rsid w:val="00096833"/>
    <w:rsid w:val="00096F53"/>
    <w:rsid w:val="000973D7"/>
    <w:rsid w:val="0009785B"/>
    <w:rsid w:val="00097927"/>
    <w:rsid w:val="00097DB2"/>
    <w:rsid w:val="00097DFC"/>
    <w:rsid w:val="000A00F8"/>
    <w:rsid w:val="000A01DC"/>
    <w:rsid w:val="000A08ED"/>
    <w:rsid w:val="000A1150"/>
    <w:rsid w:val="000A1E6C"/>
    <w:rsid w:val="000A2283"/>
    <w:rsid w:val="000A2757"/>
    <w:rsid w:val="000A324B"/>
    <w:rsid w:val="000A3372"/>
    <w:rsid w:val="000A37EF"/>
    <w:rsid w:val="000A3B5B"/>
    <w:rsid w:val="000A3CFA"/>
    <w:rsid w:val="000A49F6"/>
    <w:rsid w:val="000A5CAA"/>
    <w:rsid w:val="000A5E2A"/>
    <w:rsid w:val="000A6BF1"/>
    <w:rsid w:val="000A71B6"/>
    <w:rsid w:val="000A720F"/>
    <w:rsid w:val="000A731E"/>
    <w:rsid w:val="000B0012"/>
    <w:rsid w:val="000B0496"/>
    <w:rsid w:val="000B0A85"/>
    <w:rsid w:val="000B0B7C"/>
    <w:rsid w:val="000B0F12"/>
    <w:rsid w:val="000B1930"/>
    <w:rsid w:val="000B1C67"/>
    <w:rsid w:val="000B2C80"/>
    <w:rsid w:val="000B434E"/>
    <w:rsid w:val="000B4431"/>
    <w:rsid w:val="000B4725"/>
    <w:rsid w:val="000B4AA7"/>
    <w:rsid w:val="000B4BAB"/>
    <w:rsid w:val="000B504A"/>
    <w:rsid w:val="000B5266"/>
    <w:rsid w:val="000B55F5"/>
    <w:rsid w:val="000B6110"/>
    <w:rsid w:val="000B688B"/>
    <w:rsid w:val="000B703F"/>
    <w:rsid w:val="000B7111"/>
    <w:rsid w:val="000B7114"/>
    <w:rsid w:val="000B71E9"/>
    <w:rsid w:val="000B778C"/>
    <w:rsid w:val="000B78A4"/>
    <w:rsid w:val="000B796F"/>
    <w:rsid w:val="000C01D1"/>
    <w:rsid w:val="000C02AB"/>
    <w:rsid w:val="000C0527"/>
    <w:rsid w:val="000C0544"/>
    <w:rsid w:val="000C1350"/>
    <w:rsid w:val="000C17CB"/>
    <w:rsid w:val="000C3369"/>
    <w:rsid w:val="000C3973"/>
    <w:rsid w:val="000C3B34"/>
    <w:rsid w:val="000C4046"/>
    <w:rsid w:val="000C41B1"/>
    <w:rsid w:val="000C46E2"/>
    <w:rsid w:val="000C4B54"/>
    <w:rsid w:val="000C4DD0"/>
    <w:rsid w:val="000C5538"/>
    <w:rsid w:val="000C561F"/>
    <w:rsid w:val="000C5B0B"/>
    <w:rsid w:val="000C5E43"/>
    <w:rsid w:val="000C5E76"/>
    <w:rsid w:val="000C6470"/>
    <w:rsid w:val="000C7685"/>
    <w:rsid w:val="000D0ACB"/>
    <w:rsid w:val="000D0B23"/>
    <w:rsid w:val="000D0F60"/>
    <w:rsid w:val="000D0FB7"/>
    <w:rsid w:val="000D11EB"/>
    <w:rsid w:val="000D2487"/>
    <w:rsid w:val="000D297D"/>
    <w:rsid w:val="000D2B8E"/>
    <w:rsid w:val="000D2D9D"/>
    <w:rsid w:val="000D3703"/>
    <w:rsid w:val="000D391D"/>
    <w:rsid w:val="000D3DE4"/>
    <w:rsid w:val="000D412C"/>
    <w:rsid w:val="000D4390"/>
    <w:rsid w:val="000D48B9"/>
    <w:rsid w:val="000D5142"/>
    <w:rsid w:val="000D5486"/>
    <w:rsid w:val="000D56CC"/>
    <w:rsid w:val="000D56DC"/>
    <w:rsid w:val="000D5B6B"/>
    <w:rsid w:val="000D607C"/>
    <w:rsid w:val="000D6BB4"/>
    <w:rsid w:val="000D6DB7"/>
    <w:rsid w:val="000E017E"/>
    <w:rsid w:val="000E07D6"/>
    <w:rsid w:val="000E09BE"/>
    <w:rsid w:val="000E0DEA"/>
    <w:rsid w:val="000E0FB9"/>
    <w:rsid w:val="000E1A2D"/>
    <w:rsid w:val="000E1E16"/>
    <w:rsid w:val="000E2865"/>
    <w:rsid w:val="000E2896"/>
    <w:rsid w:val="000E29CE"/>
    <w:rsid w:val="000E3304"/>
    <w:rsid w:val="000E3B1C"/>
    <w:rsid w:val="000E46A1"/>
    <w:rsid w:val="000E4CDC"/>
    <w:rsid w:val="000E4EE8"/>
    <w:rsid w:val="000E53F1"/>
    <w:rsid w:val="000E5564"/>
    <w:rsid w:val="000E583D"/>
    <w:rsid w:val="000E5A2E"/>
    <w:rsid w:val="000E5A3B"/>
    <w:rsid w:val="000E6095"/>
    <w:rsid w:val="000E6338"/>
    <w:rsid w:val="000E6448"/>
    <w:rsid w:val="000E755D"/>
    <w:rsid w:val="000E78BE"/>
    <w:rsid w:val="000E7BE9"/>
    <w:rsid w:val="000F0015"/>
    <w:rsid w:val="000F0A87"/>
    <w:rsid w:val="000F0C2B"/>
    <w:rsid w:val="000F0DEB"/>
    <w:rsid w:val="000F0F0D"/>
    <w:rsid w:val="000F1399"/>
    <w:rsid w:val="000F1A19"/>
    <w:rsid w:val="000F1D50"/>
    <w:rsid w:val="000F207C"/>
    <w:rsid w:val="000F2489"/>
    <w:rsid w:val="000F2683"/>
    <w:rsid w:val="000F2F11"/>
    <w:rsid w:val="000F342F"/>
    <w:rsid w:val="000F3771"/>
    <w:rsid w:val="000F3A3A"/>
    <w:rsid w:val="000F3C2B"/>
    <w:rsid w:val="000F4066"/>
    <w:rsid w:val="000F406A"/>
    <w:rsid w:val="000F41E3"/>
    <w:rsid w:val="000F4546"/>
    <w:rsid w:val="000F4EC1"/>
    <w:rsid w:val="000F4F8A"/>
    <w:rsid w:val="000F52A7"/>
    <w:rsid w:val="000F56FF"/>
    <w:rsid w:val="000F573A"/>
    <w:rsid w:val="000F6463"/>
    <w:rsid w:val="000F671F"/>
    <w:rsid w:val="000F6B30"/>
    <w:rsid w:val="000F6DED"/>
    <w:rsid w:val="000F7561"/>
    <w:rsid w:val="000F7A01"/>
    <w:rsid w:val="000F7A7A"/>
    <w:rsid w:val="000F7EBD"/>
    <w:rsid w:val="0010008A"/>
    <w:rsid w:val="001000C5"/>
    <w:rsid w:val="001006F2"/>
    <w:rsid w:val="00100AC3"/>
    <w:rsid w:val="001025F1"/>
    <w:rsid w:val="0010278F"/>
    <w:rsid w:val="00102920"/>
    <w:rsid w:val="00102A8D"/>
    <w:rsid w:val="001030F5"/>
    <w:rsid w:val="00103518"/>
    <w:rsid w:val="00103D28"/>
    <w:rsid w:val="001043AB"/>
    <w:rsid w:val="001044EC"/>
    <w:rsid w:val="001047B1"/>
    <w:rsid w:val="0010540D"/>
    <w:rsid w:val="0010585D"/>
    <w:rsid w:val="00105E99"/>
    <w:rsid w:val="00107250"/>
    <w:rsid w:val="00107347"/>
    <w:rsid w:val="00107388"/>
    <w:rsid w:val="0011140F"/>
    <w:rsid w:val="0011150F"/>
    <w:rsid w:val="001115E3"/>
    <w:rsid w:val="00111F6C"/>
    <w:rsid w:val="00113036"/>
    <w:rsid w:val="001131C0"/>
    <w:rsid w:val="001132CC"/>
    <w:rsid w:val="0011380C"/>
    <w:rsid w:val="0011382B"/>
    <w:rsid w:val="001138FE"/>
    <w:rsid w:val="00113DF5"/>
    <w:rsid w:val="0011472A"/>
    <w:rsid w:val="00114A18"/>
    <w:rsid w:val="00114ACC"/>
    <w:rsid w:val="00114BE9"/>
    <w:rsid w:val="00114FE3"/>
    <w:rsid w:val="00115303"/>
    <w:rsid w:val="00115382"/>
    <w:rsid w:val="00115911"/>
    <w:rsid w:val="0011646A"/>
    <w:rsid w:val="00116753"/>
    <w:rsid w:val="0011678F"/>
    <w:rsid w:val="00116874"/>
    <w:rsid w:val="00116E86"/>
    <w:rsid w:val="001173D5"/>
    <w:rsid w:val="0011750A"/>
    <w:rsid w:val="00117535"/>
    <w:rsid w:val="00117BB8"/>
    <w:rsid w:val="00117BEF"/>
    <w:rsid w:val="00120693"/>
    <w:rsid w:val="0012071A"/>
    <w:rsid w:val="0012087B"/>
    <w:rsid w:val="00120880"/>
    <w:rsid w:val="001209C7"/>
    <w:rsid w:val="00120E40"/>
    <w:rsid w:val="00122482"/>
    <w:rsid w:val="00122B47"/>
    <w:rsid w:val="00123861"/>
    <w:rsid w:val="001239A9"/>
    <w:rsid w:val="00123B5B"/>
    <w:rsid w:val="0012414E"/>
    <w:rsid w:val="00124A6C"/>
    <w:rsid w:val="00124ADD"/>
    <w:rsid w:val="00124C57"/>
    <w:rsid w:val="00125068"/>
    <w:rsid w:val="00125174"/>
    <w:rsid w:val="00125A6C"/>
    <w:rsid w:val="00125B02"/>
    <w:rsid w:val="00125BD0"/>
    <w:rsid w:val="00125EA6"/>
    <w:rsid w:val="00125F5D"/>
    <w:rsid w:val="00126F9D"/>
    <w:rsid w:val="0012766C"/>
    <w:rsid w:val="00127783"/>
    <w:rsid w:val="00130026"/>
    <w:rsid w:val="00130067"/>
    <w:rsid w:val="001300F0"/>
    <w:rsid w:val="001306E2"/>
    <w:rsid w:val="00131873"/>
    <w:rsid w:val="00131A44"/>
    <w:rsid w:val="00131D22"/>
    <w:rsid w:val="00131E00"/>
    <w:rsid w:val="00131F28"/>
    <w:rsid w:val="00132163"/>
    <w:rsid w:val="001322F5"/>
    <w:rsid w:val="00132345"/>
    <w:rsid w:val="00132F78"/>
    <w:rsid w:val="001338C8"/>
    <w:rsid w:val="00134017"/>
    <w:rsid w:val="0013431A"/>
    <w:rsid w:val="0013453E"/>
    <w:rsid w:val="00134B8B"/>
    <w:rsid w:val="00134F60"/>
    <w:rsid w:val="00135204"/>
    <w:rsid w:val="00135296"/>
    <w:rsid w:val="00135BAF"/>
    <w:rsid w:val="00135FDB"/>
    <w:rsid w:val="001364C5"/>
    <w:rsid w:val="001368D2"/>
    <w:rsid w:val="0013746B"/>
    <w:rsid w:val="0013761E"/>
    <w:rsid w:val="00137D1E"/>
    <w:rsid w:val="00137DC2"/>
    <w:rsid w:val="00137ED3"/>
    <w:rsid w:val="00140105"/>
    <w:rsid w:val="00140618"/>
    <w:rsid w:val="001406F8"/>
    <w:rsid w:val="001407FB"/>
    <w:rsid w:val="0014081D"/>
    <w:rsid w:val="00140C72"/>
    <w:rsid w:val="00140C8A"/>
    <w:rsid w:val="00141301"/>
    <w:rsid w:val="00141D5C"/>
    <w:rsid w:val="00141FA2"/>
    <w:rsid w:val="00142028"/>
    <w:rsid w:val="0014277A"/>
    <w:rsid w:val="00142D38"/>
    <w:rsid w:val="00142F18"/>
    <w:rsid w:val="0014313B"/>
    <w:rsid w:val="00143140"/>
    <w:rsid w:val="00143404"/>
    <w:rsid w:val="001439A8"/>
    <w:rsid w:val="00143BA5"/>
    <w:rsid w:val="00143CBE"/>
    <w:rsid w:val="00144039"/>
    <w:rsid w:val="001440ED"/>
    <w:rsid w:val="00144377"/>
    <w:rsid w:val="00144391"/>
    <w:rsid w:val="00144802"/>
    <w:rsid w:val="001454AC"/>
    <w:rsid w:val="00145DCA"/>
    <w:rsid w:val="00145F9D"/>
    <w:rsid w:val="00146680"/>
    <w:rsid w:val="001469D9"/>
    <w:rsid w:val="00146AF7"/>
    <w:rsid w:val="00146FE0"/>
    <w:rsid w:val="001470A4"/>
    <w:rsid w:val="00147309"/>
    <w:rsid w:val="00147413"/>
    <w:rsid w:val="0014751C"/>
    <w:rsid w:val="001475D9"/>
    <w:rsid w:val="00147A4C"/>
    <w:rsid w:val="00147F47"/>
    <w:rsid w:val="00150543"/>
    <w:rsid w:val="00150AAE"/>
    <w:rsid w:val="00150C45"/>
    <w:rsid w:val="001513E7"/>
    <w:rsid w:val="00151B20"/>
    <w:rsid w:val="00151E09"/>
    <w:rsid w:val="001529D8"/>
    <w:rsid w:val="00152AAF"/>
    <w:rsid w:val="00153537"/>
    <w:rsid w:val="00153612"/>
    <w:rsid w:val="00153B37"/>
    <w:rsid w:val="00153BA6"/>
    <w:rsid w:val="00153C25"/>
    <w:rsid w:val="001540B6"/>
    <w:rsid w:val="001543BA"/>
    <w:rsid w:val="00154842"/>
    <w:rsid w:val="00154865"/>
    <w:rsid w:val="0015496A"/>
    <w:rsid w:val="00155492"/>
    <w:rsid w:val="00156050"/>
    <w:rsid w:val="0015611B"/>
    <w:rsid w:val="00156A16"/>
    <w:rsid w:val="00156B35"/>
    <w:rsid w:val="0015718C"/>
    <w:rsid w:val="00157340"/>
    <w:rsid w:val="00160315"/>
    <w:rsid w:val="0016035E"/>
    <w:rsid w:val="00160529"/>
    <w:rsid w:val="0016074C"/>
    <w:rsid w:val="00160E0E"/>
    <w:rsid w:val="00161072"/>
    <w:rsid w:val="00161175"/>
    <w:rsid w:val="001611B8"/>
    <w:rsid w:val="00161225"/>
    <w:rsid w:val="0016197E"/>
    <w:rsid w:val="00161A1D"/>
    <w:rsid w:val="00162980"/>
    <w:rsid w:val="00162ADA"/>
    <w:rsid w:val="00162AE1"/>
    <w:rsid w:val="00162CF9"/>
    <w:rsid w:val="00163A44"/>
    <w:rsid w:val="00163B00"/>
    <w:rsid w:val="00163D19"/>
    <w:rsid w:val="00164853"/>
    <w:rsid w:val="00164B63"/>
    <w:rsid w:val="00164CA0"/>
    <w:rsid w:val="00164E3A"/>
    <w:rsid w:val="00165300"/>
    <w:rsid w:val="00165E30"/>
    <w:rsid w:val="00166169"/>
    <w:rsid w:val="0016649D"/>
    <w:rsid w:val="00166679"/>
    <w:rsid w:val="0016695A"/>
    <w:rsid w:val="001670C5"/>
    <w:rsid w:val="001675A6"/>
    <w:rsid w:val="0016761D"/>
    <w:rsid w:val="001676E6"/>
    <w:rsid w:val="00167D8A"/>
    <w:rsid w:val="00167DF1"/>
    <w:rsid w:val="00167E15"/>
    <w:rsid w:val="00170565"/>
    <w:rsid w:val="00170AB6"/>
    <w:rsid w:val="0017172B"/>
    <w:rsid w:val="001717BF"/>
    <w:rsid w:val="00171813"/>
    <w:rsid w:val="00172099"/>
    <w:rsid w:val="00172458"/>
    <w:rsid w:val="001724B4"/>
    <w:rsid w:val="00172EEB"/>
    <w:rsid w:val="001730B4"/>
    <w:rsid w:val="001732FF"/>
    <w:rsid w:val="00173DFB"/>
    <w:rsid w:val="00174204"/>
    <w:rsid w:val="0017439C"/>
    <w:rsid w:val="00174A49"/>
    <w:rsid w:val="00174E51"/>
    <w:rsid w:val="00174F92"/>
    <w:rsid w:val="00175162"/>
    <w:rsid w:val="00176493"/>
    <w:rsid w:val="0017728B"/>
    <w:rsid w:val="001776BA"/>
    <w:rsid w:val="00177749"/>
    <w:rsid w:val="00177F36"/>
    <w:rsid w:val="001801DE"/>
    <w:rsid w:val="00180207"/>
    <w:rsid w:val="00180242"/>
    <w:rsid w:val="00180400"/>
    <w:rsid w:val="00180425"/>
    <w:rsid w:val="00180892"/>
    <w:rsid w:val="00180954"/>
    <w:rsid w:val="001811A2"/>
    <w:rsid w:val="0018137B"/>
    <w:rsid w:val="001818DE"/>
    <w:rsid w:val="00181B66"/>
    <w:rsid w:val="00181FE4"/>
    <w:rsid w:val="001823E2"/>
    <w:rsid w:val="00182499"/>
    <w:rsid w:val="001835C1"/>
    <w:rsid w:val="00183919"/>
    <w:rsid w:val="00183D79"/>
    <w:rsid w:val="001849DC"/>
    <w:rsid w:val="00184CFB"/>
    <w:rsid w:val="00185273"/>
    <w:rsid w:val="001853C0"/>
    <w:rsid w:val="00185756"/>
    <w:rsid w:val="00185813"/>
    <w:rsid w:val="00185F7F"/>
    <w:rsid w:val="00185FF8"/>
    <w:rsid w:val="00186B33"/>
    <w:rsid w:val="00186DD4"/>
    <w:rsid w:val="00186E4B"/>
    <w:rsid w:val="00186EDF"/>
    <w:rsid w:val="00187143"/>
    <w:rsid w:val="00187701"/>
    <w:rsid w:val="00187B9D"/>
    <w:rsid w:val="00187CCC"/>
    <w:rsid w:val="00190087"/>
    <w:rsid w:val="00190105"/>
    <w:rsid w:val="001901EC"/>
    <w:rsid w:val="0019056B"/>
    <w:rsid w:val="00190B19"/>
    <w:rsid w:val="00190D54"/>
    <w:rsid w:val="00191142"/>
    <w:rsid w:val="001919F3"/>
    <w:rsid w:val="001921C9"/>
    <w:rsid w:val="001927CF"/>
    <w:rsid w:val="00192916"/>
    <w:rsid w:val="00192CF7"/>
    <w:rsid w:val="00193230"/>
    <w:rsid w:val="00194498"/>
    <w:rsid w:val="00194721"/>
    <w:rsid w:val="0019480A"/>
    <w:rsid w:val="001959FF"/>
    <w:rsid w:val="001960BA"/>
    <w:rsid w:val="0019651F"/>
    <w:rsid w:val="001A00AA"/>
    <w:rsid w:val="001A02C1"/>
    <w:rsid w:val="001A0795"/>
    <w:rsid w:val="001A14A0"/>
    <w:rsid w:val="001A20F3"/>
    <w:rsid w:val="001A2255"/>
    <w:rsid w:val="001A240F"/>
    <w:rsid w:val="001A38B7"/>
    <w:rsid w:val="001A40C8"/>
    <w:rsid w:val="001A44AE"/>
    <w:rsid w:val="001A4AA0"/>
    <w:rsid w:val="001A50F8"/>
    <w:rsid w:val="001A5A2B"/>
    <w:rsid w:val="001A5C35"/>
    <w:rsid w:val="001A61BA"/>
    <w:rsid w:val="001A6F5D"/>
    <w:rsid w:val="001A6F81"/>
    <w:rsid w:val="001A71F3"/>
    <w:rsid w:val="001A7300"/>
    <w:rsid w:val="001A7549"/>
    <w:rsid w:val="001A7922"/>
    <w:rsid w:val="001B06B7"/>
    <w:rsid w:val="001B1B0E"/>
    <w:rsid w:val="001B1D67"/>
    <w:rsid w:val="001B22AA"/>
    <w:rsid w:val="001B2931"/>
    <w:rsid w:val="001B2D3F"/>
    <w:rsid w:val="001B333F"/>
    <w:rsid w:val="001B3478"/>
    <w:rsid w:val="001B3F98"/>
    <w:rsid w:val="001B47AB"/>
    <w:rsid w:val="001B523E"/>
    <w:rsid w:val="001B56F7"/>
    <w:rsid w:val="001B5967"/>
    <w:rsid w:val="001B5C07"/>
    <w:rsid w:val="001B603B"/>
    <w:rsid w:val="001B6403"/>
    <w:rsid w:val="001B6553"/>
    <w:rsid w:val="001B6705"/>
    <w:rsid w:val="001B67F6"/>
    <w:rsid w:val="001B68F1"/>
    <w:rsid w:val="001B6A3B"/>
    <w:rsid w:val="001B6E82"/>
    <w:rsid w:val="001B7917"/>
    <w:rsid w:val="001B7F0F"/>
    <w:rsid w:val="001C0042"/>
    <w:rsid w:val="001C044E"/>
    <w:rsid w:val="001C0724"/>
    <w:rsid w:val="001C0CA7"/>
    <w:rsid w:val="001C0F8B"/>
    <w:rsid w:val="001C0FE4"/>
    <w:rsid w:val="001C0FF9"/>
    <w:rsid w:val="001C171A"/>
    <w:rsid w:val="001C1E7D"/>
    <w:rsid w:val="001C1EF6"/>
    <w:rsid w:val="001C2D7B"/>
    <w:rsid w:val="001C2E55"/>
    <w:rsid w:val="001C306B"/>
    <w:rsid w:val="001C31A9"/>
    <w:rsid w:val="001C3580"/>
    <w:rsid w:val="001C3602"/>
    <w:rsid w:val="001C3750"/>
    <w:rsid w:val="001C3813"/>
    <w:rsid w:val="001C3A0E"/>
    <w:rsid w:val="001C4564"/>
    <w:rsid w:val="001C46C5"/>
    <w:rsid w:val="001C48B0"/>
    <w:rsid w:val="001C5193"/>
    <w:rsid w:val="001C5B37"/>
    <w:rsid w:val="001C6A17"/>
    <w:rsid w:val="001C6B42"/>
    <w:rsid w:val="001C6E91"/>
    <w:rsid w:val="001C787D"/>
    <w:rsid w:val="001C79B4"/>
    <w:rsid w:val="001C7AA4"/>
    <w:rsid w:val="001C7C72"/>
    <w:rsid w:val="001D0436"/>
    <w:rsid w:val="001D04FC"/>
    <w:rsid w:val="001D07E6"/>
    <w:rsid w:val="001D0F0E"/>
    <w:rsid w:val="001D0F84"/>
    <w:rsid w:val="001D0FEC"/>
    <w:rsid w:val="001D14AB"/>
    <w:rsid w:val="001D1568"/>
    <w:rsid w:val="001D159F"/>
    <w:rsid w:val="001D1899"/>
    <w:rsid w:val="001D1A90"/>
    <w:rsid w:val="001D27A6"/>
    <w:rsid w:val="001D27F2"/>
    <w:rsid w:val="001D29EF"/>
    <w:rsid w:val="001D2BBB"/>
    <w:rsid w:val="001D2D7E"/>
    <w:rsid w:val="001D3321"/>
    <w:rsid w:val="001D3F10"/>
    <w:rsid w:val="001D40E1"/>
    <w:rsid w:val="001D4320"/>
    <w:rsid w:val="001D4610"/>
    <w:rsid w:val="001D49B1"/>
    <w:rsid w:val="001D4A65"/>
    <w:rsid w:val="001D4E82"/>
    <w:rsid w:val="001D5049"/>
    <w:rsid w:val="001D509E"/>
    <w:rsid w:val="001D5593"/>
    <w:rsid w:val="001D5956"/>
    <w:rsid w:val="001D6768"/>
    <w:rsid w:val="001D68F8"/>
    <w:rsid w:val="001D6F0C"/>
    <w:rsid w:val="001D6F71"/>
    <w:rsid w:val="001D7371"/>
    <w:rsid w:val="001D7DC1"/>
    <w:rsid w:val="001D7F6B"/>
    <w:rsid w:val="001D7FC7"/>
    <w:rsid w:val="001E0112"/>
    <w:rsid w:val="001E061C"/>
    <w:rsid w:val="001E0D75"/>
    <w:rsid w:val="001E0DBE"/>
    <w:rsid w:val="001E0EC5"/>
    <w:rsid w:val="001E12B4"/>
    <w:rsid w:val="001E2A6D"/>
    <w:rsid w:val="001E2BEA"/>
    <w:rsid w:val="001E32B0"/>
    <w:rsid w:val="001E37FC"/>
    <w:rsid w:val="001E3908"/>
    <w:rsid w:val="001E3D96"/>
    <w:rsid w:val="001E453A"/>
    <w:rsid w:val="001E4775"/>
    <w:rsid w:val="001E48E8"/>
    <w:rsid w:val="001E4E8B"/>
    <w:rsid w:val="001E54A7"/>
    <w:rsid w:val="001E57FC"/>
    <w:rsid w:val="001E59C9"/>
    <w:rsid w:val="001E683B"/>
    <w:rsid w:val="001E6ED9"/>
    <w:rsid w:val="001E71A6"/>
    <w:rsid w:val="001E75FA"/>
    <w:rsid w:val="001E7C72"/>
    <w:rsid w:val="001F003D"/>
    <w:rsid w:val="001F014F"/>
    <w:rsid w:val="001F0B32"/>
    <w:rsid w:val="001F0C1D"/>
    <w:rsid w:val="001F1219"/>
    <w:rsid w:val="001F1288"/>
    <w:rsid w:val="001F2169"/>
    <w:rsid w:val="001F226B"/>
    <w:rsid w:val="001F23BB"/>
    <w:rsid w:val="001F2E8D"/>
    <w:rsid w:val="001F30B9"/>
    <w:rsid w:val="001F3254"/>
    <w:rsid w:val="001F3839"/>
    <w:rsid w:val="001F3C52"/>
    <w:rsid w:val="001F3D0D"/>
    <w:rsid w:val="001F3DF3"/>
    <w:rsid w:val="001F4058"/>
    <w:rsid w:val="001F40C0"/>
    <w:rsid w:val="001F492B"/>
    <w:rsid w:val="001F545C"/>
    <w:rsid w:val="001F607D"/>
    <w:rsid w:val="001F6301"/>
    <w:rsid w:val="001F6326"/>
    <w:rsid w:val="001F6D08"/>
    <w:rsid w:val="001F6E38"/>
    <w:rsid w:val="001F7893"/>
    <w:rsid w:val="001F7924"/>
    <w:rsid w:val="001F7A0E"/>
    <w:rsid w:val="001F7E7D"/>
    <w:rsid w:val="001F7F01"/>
    <w:rsid w:val="002006C0"/>
    <w:rsid w:val="0020072D"/>
    <w:rsid w:val="002009A1"/>
    <w:rsid w:val="00200A39"/>
    <w:rsid w:val="0020149B"/>
    <w:rsid w:val="002017BF"/>
    <w:rsid w:val="00201BA4"/>
    <w:rsid w:val="00201D92"/>
    <w:rsid w:val="002020D4"/>
    <w:rsid w:val="002020F5"/>
    <w:rsid w:val="00202126"/>
    <w:rsid w:val="00202534"/>
    <w:rsid w:val="0020257A"/>
    <w:rsid w:val="00202C0C"/>
    <w:rsid w:val="00203613"/>
    <w:rsid w:val="00203933"/>
    <w:rsid w:val="00203AC6"/>
    <w:rsid w:val="00203CDF"/>
    <w:rsid w:val="00203D50"/>
    <w:rsid w:val="00203F53"/>
    <w:rsid w:val="0020448C"/>
    <w:rsid w:val="00204F43"/>
    <w:rsid w:val="00204F63"/>
    <w:rsid w:val="00205225"/>
    <w:rsid w:val="002055EB"/>
    <w:rsid w:val="002057CA"/>
    <w:rsid w:val="002057D3"/>
    <w:rsid w:val="00205B01"/>
    <w:rsid w:val="002069AA"/>
    <w:rsid w:val="00206DF6"/>
    <w:rsid w:val="002075D2"/>
    <w:rsid w:val="0020767B"/>
    <w:rsid w:val="0021032E"/>
    <w:rsid w:val="0021061C"/>
    <w:rsid w:val="00210791"/>
    <w:rsid w:val="00210C89"/>
    <w:rsid w:val="00211001"/>
    <w:rsid w:val="00211297"/>
    <w:rsid w:val="00211486"/>
    <w:rsid w:val="00211556"/>
    <w:rsid w:val="00211566"/>
    <w:rsid w:val="002118ED"/>
    <w:rsid w:val="00212A1C"/>
    <w:rsid w:val="00212A3B"/>
    <w:rsid w:val="002132AE"/>
    <w:rsid w:val="00213AE7"/>
    <w:rsid w:val="00213FD8"/>
    <w:rsid w:val="0021462E"/>
    <w:rsid w:val="00214C80"/>
    <w:rsid w:val="0021538B"/>
    <w:rsid w:val="00216202"/>
    <w:rsid w:val="0021627C"/>
    <w:rsid w:val="0021631D"/>
    <w:rsid w:val="002165A9"/>
    <w:rsid w:val="0021776C"/>
    <w:rsid w:val="002178AE"/>
    <w:rsid w:val="00217DC0"/>
    <w:rsid w:val="002203F3"/>
    <w:rsid w:val="00220705"/>
    <w:rsid w:val="002211A8"/>
    <w:rsid w:val="00221676"/>
    <w:rsid w:val="002217A3"/>
    <w:rsid w:val="00221B27"/>
    <w:rsid w:val="00221B49"/>
    <w:rsid w:val="002223D4"/>
    <w:rsid w:val="002227F6"/>
    <w:rsid w:val="00222833"/>
    <w:rsid w:val="0022326B"/>
    <w:rsid w:val="00223281"/>
    <w:rsid w:val="002234AE"/>
    <w:rsid w:val="00223DDE"/>
    <w:rsid w:val="00223FDB"/>
    <w:rsid w:val="0022429D"/>
    <w:rsid w:val="00224429"/>
    <w:rsid w:val="0022486F"/>
    <w:rsid w:val="00224A87"/>
    <w:rsid w:val="00224BB4"/>
    <w:rsid w:val="00224DF8"/>
    <w:rsid w:val="00224FE2"/>
    <w:rsid w:val="0022564A"/>
    <w:rsid w:val="002259EE"/>
    <w:rsid w:val="00225CFF"/>
    <w:rsid w:val="00225FB4"/>
    <w:rsid w:val="002263B0"/>
    <w:rsid w:val="00226425"/>
    <w:rsid w:val="002268F6"/>
    <w:rsid w:val="002268FB"/>
    <w:rsid w:val="00226E29"/>
    <w:rsid w:val="00227C1C"/>
    <w:rsid w:val="00230902"/>
    <w:rsid w:val="00230FAF"/>
    <w:rsid w:val="002311EE"/>
    <w:rsid w:val="00231290"/>
    <w:rsid w:val="002316D8"/>
    <w:rsid w:val="00231B43"/>
    <w:rsid w:val="0023259F"/>
    <w:rsid w:val="002326C7"/>
    <w:rsid w:val="00232D17"/>
    <w:rsid w:val="00232D75"/>
    <w:rsid w:val="00232DD5"/>
    <w:rsid w:val="00233C95"/>
    <w:rsid w:val="00233F4F"/>
    <w:rsid w:val="002340DC"/>
    <w:rsid w:val="0023498E"/>
    <w:rsid w:val="00235198"/>
    <w:rsid w:val="002361F9"/>
    <w:rsid w:val="00236437"/>
    <w:rsid w:val="0023683F"/>
    <w:rsid w:val="00236991"/>
    <w:rsid w:val="00236A62"/>
    <w:rsid w:val="00236BD2"/>
    <w:rsid w:val="00236F9E"/>
    <w:rsid w:val="002373A5"/>
    <w:rsid w:val="00237655"/>
    <w:rsid w:val="00237842"/>
    <w:rsid w:val="002378CF"/>
    <w:rsid w:val="00237A39"/>
    <w:rsid w:val="00240AD7"/>
    <w:rsid w:val="00240BC0"/>
    <w:rsid w:val="00240E86"/>
    <w:rsid w:val="00241406"/>
    <w:rsid w:val="00241ADA"/>
    <w:rsid w:val="002422B5"/>
    <w:rsid w:val="00242C33"/>
    <w:rsid w:val="00243A57"/>
    <w:rsid w:val="00243A77"/>
    <w:rsid w:val="00244031"/>
    <w:rsid w:val="002445C5"/>
    <w:rsid w:val="0024520D"/>
    <w:rsid w:val="00245821"/>
    <w:rsid w:val="0024584D"/>
    <w:rsid w:val="00246791"/>
    <w:rsid w:val="00246B2E"/>
    <w:rsid w:val="00246CE6"/>
    <w:rsid w:val="0024710A"/>
    <w:rsid w:val="002472D9"/>
    <w:rsid w:val="0025018F"/>
    <w:rsid w:val="0025040A"/>
    <w:rsid w:val="00250428"/>
    <w:rsid w:val="002504C9"/>
    <w:rsid w:val="00251A4C"/>
    <w:rsid w:val="00251C1C"/>
    <w:rsid w:val="0025215C"/>
    <w:rsid w:val="00252481"/>
    <w:rsid w:val="00252856"/>
    <w:rsid w:val="00252B0A"/>
    <w:rsid w:val="00252DD3"/>
    <w:rsid w:val="0025474C"/>
    <w:rsid w:val="0025480A"/>
    <w:rsid w:val="00254D34"/>
    <w:rsid w:val="00254F0C"/>
    <w:rsid w:val="002564FD"/>
    <w:rsid w:val="00257713"/>
    <w:rsid w:val="002577C0"/>
    <w:rsid w:val="00257893"/>
    <w:rsid w:val="0026027E"/>
    <w:rsid w:val="00260805"/>
    <w:rsid w:val="00260F96"/>
    <w:rsid w:val="00261517"/>
    <w:rsid w:val="00262509"/>
    <w:rsid w:val="00262734"/>
    <w:rsid w:val="002627A6"/>
    <w:rsid w:val="002635D4"/>
    <w:rsid w:val="0026370F"/>
    <w:rsid w:val="00263D3F"/>
    <w:rsid w:val="00263D88"/>
    <w:rsid w:val="00263EBB"/>
    <w:rsid w:val="0026402C"/>
    <w:rsid w:val="00264390"/>
    <w:rsid w:val="002644EA"/>
    <w:rsid w:val="0026463F"/>
    <w:rsid w:val="00264664"/>
    <w:rsid w:val="0026504B"/>
    <w:rsid w:val="002657F8"/>
    <w:rsid w:val="00265D62"/>
    <w:rsid w:val="00265E6B"/>
    <w:rsid w:val="002660E3"/>
    <w:rsid w:val="002663AA"/>
    <w:rsid w:val="002663B7"/>
    <w:rsid w:val="00266744"/>
    <w:rsid w:val="0026703A"/>
    <w:rsid w:val="002672E2"/>
    <w:rsid w:val="00267CB7"/>
    <w:rsid w:val="00270390"/>
    <w:rsid w:val="00270AFA"/>
    <w:rsid w:val="0027189D"/>
    <w:rsid w:val="00271C80"/>
    <w:rsid w:val="0027281E"/>
    <w:rsid w:val="0027309B"/>
    <w:rsid w:val="0027317D"/>
    <w:rsid w:val="00273ABF"/>
    <w:rsid w:val="00273B38"/>
    <w:rsid w:val="00274178"/>
    <w:rsid w:val="002744E3"/>
    <w:rsid w:val="002747ED"/>
    <w:rsid w:val="00274DCF"/>
    <w:rsid w:val="00274E61"/>
    <w:rsid w:val="00275147"/>
    <w:rsid w:val="00275564"/>
    <w:rsid w:val="00275A6D"/>
    <w:rsid w:val="00275F0C"/>
    <w:rsid w:val="00276A96"/>
    <w:rsid w:val="00277407"/>
    <w:rsid w:val="0027771A"/>
    <w:rsid w:val="002777C1"/>
    <w:rsid w:val="0027793C"/>
    <w:rsid w:val="00280303"/>
    <w:rsid w:val="0028162A"/>
    <w:rsid w:val="002825DB"/>
    <w:rsid w:val="0028293F"/>
    <w:rsid w:val="00283C55"/>
    <w:rsid w:val="00283ECB"/>
    <w:rsid w:val="00283F36"/>
    <w:rsid w:val="002844A1"/>
    <w:rsid w:val="002844B3"/>
    <w:rsid w:val="0028475F"/>
    <w:rsid w:val="00284770"/>
    <w:rsid w:val="00284AA1"/>
    <w:rsid w:val="00284CAE"/>
    <w:rsid w:val="00285152"/>
    <w:rsid w:val="0028574F"/>
    <w:rsid w:val="0028579D"/>
    <w:rsid w:val="00285960"/>
    <w:rsid w:val="00285E86"/>
    <w:rsid w:val="002863B1"/>
    <w:rsid w:val="002864CC"/>
    <w:rsid w:val="00286851"/>
    <w:rsid w:val="00286C01"/>
    <w:rsid w:val="00286E4D"/>
    <w:rsid w:val="0028707B"/>
    <w:rsid w:val="00287249"/>
    <w:rsid w:val="0028759B"/>
    <w:rsid w:val="002876B3"/>
    <w:rsid w:val="0029059F"/>
    <w:rsid w:val="00290FC3"/>
    <w:rsid w:val="00291218"/>
    <w:rsid w:val="00291524"/>
    <w:rsid w:val="00291A47"/>
    <w:rsid w:val="00292504"/>
    <w:rsid w:val="0029255F"/>
    <w:rsid w:val="002926DF"/>
    <w:rsid w:val="00292860"/>
    <w:rsid w:val="00292B75"/>
    <w:rsid w:val="00293A3D"/>
    <w:rsid w:val="00293BBB"/>
    <w:rsid w:val="00293D25"/>
    <w:rsid w:val="00293E8B"/>
    <w:rsid w:val="00293F29"/>
    <w:rsid w:val="00293FAF"/>
    <w:rsid w:val="0029411E"/>
    <w:rsid w:val="00294970"/>
    <w:rsid w:val="00294A30"/>
    <w:rsid w:val="00294A40"/>
    <w:rsid w:val="00294AD9"/>
    <w:rsid w:val="00294FA6"/>
    <w:rsid w:val="00295627"/>
    <w:rsid w:val="00295FBE"/>
    <w:rsid w:val="002967EB"/>
    <w:rsid w:val="00296AB6"/>
    <w:rsid w:val="00296BC1"/>
    <w:rsid w:val="00296CB5"/>
    <w:rsid w:val="00296E9D"/>
    <w:rsid w:val="002972DC"/>
    <w:rsid w:val="00297757"/>
    <w:rsid w:val="002A005C"/>
    <w:rsid w:val="002A08B1"/>
    <w:rsid w:val="002A09E8"/>
    <w:rsid w:val="002A0CD3"/>
    <w:rsid w:val="002A13B1"/>
    <w:rsid w:val="002A16D3"/>
    <w:rsid w:val="002A20E2"/>
    <w:rsid w:val="002A2191"/>
    <w:rsid w:val="002A2525"/>
    <w:rsid w:val="002A265B"/>
    <w:rsid w:val="002A27FB"/>
    <w:rsid w:val="002A28F4"/>
    <w:rsid w:val="002A30EE"/>
    <w:rsid w:val="002A3133"/>
    <w:rsid w:val="002A3334"/>
    <w:rsid w:val="002A486D"/>
    <w:rsid w:val="002A4967"/>
    <w:rsid w:val="002A4FDC"/>
    <w:rsid w:val="002A520D"/>
    <w:rsid w:val="002A5DD0"/>
    <w:rsid w:val="002A71CF"/>
    <w:rsid w:val="002A77A6"/>
    <w:rsid w:val="002A7D18"/>
    <w:rsid w:val="002B04B6"/>
    <w:rsid w:val="002B0A97"/>
    <w:rsid w:val="002B0BA5"/>
    <w:rsid w:val="002B0F91"/>
    <w:rsid w:val="002B17B4"/>
    <w:rsid w:val="002B1BB8"/>
    <w:rsid w:val="002B1C29"/>
    <w:rsid w:val="002B1F5E"/>
    <w:rsid w:val="002B22B9"/>
    <w:rsid w:val="002B2551"/>
    <w:rsid w:val="002B2A6E"/>
    <w:rsid w:val="002B30E6"/>
    <w:rsid w:val="002B4127"/>
    <w:rsid w:val="002B4331"/>
    <w:rsid w:val="002B47EF"/>
    <w:rsid w:val="002B4A69"/>
    <w:rsid w:val="002B5500"/>
    <w:rsid w:val="002B554F"/>
    <w:rsid w:val="002B5807"/>
    <w:rsid w:val="002B5B31"/>
    <w:rsid w:val="002B5E3B"/>
    <w:rsid w:val="002B5FEF"/>
    <w:rsid w:val="002B5FF5"/>
    <w:rsid w:val="002B629C"/>
    <w:rsid w:val="002B6883"/>
    <w:rsid w:val="002B69C6"/>
    <w:rsid w:val="002B73A2"/>
    <w:rsid w:val="002B7476"/>
    <w:rsid w:val="002B7E06"/>
    <w:rsid w:val="002C0C1E"/>
    <w:rsid w:val="002C0D39"/>
    <w:rsid w:val="002C0DC7"/>
    <w:rsid w:val="002C11E4"/>
    <w:rsid w:val="002C1A4B"/>
    <w:rsid w:val="002C1ACA"/>
    <w:rsid w:val="002C1C85"/>
    <w:rsid w:val="002C280F"/>
    <w:rsid w:val="002C2880"/>
    <w:rsid w:val="002C2E5B"/>
    <w:rsid w:val="002C3162"/>
    <w:rsid w:val="002C3208"/>
    <w:rsid w:val="002C34C6"/>
    <w:rsid w:val="002C36DB"/>
    <w:rsid w:val="002C38F4"/>
    <w:rsid w:val="002C415B"/>
    <w:rsid w:val="002C42C7"/>
    <w:rsid w:val="002C436C"/>
    <w:rsid w:val="002C4680"/>
    <w:rsid w:val="002C4A19"/>
    <w:rsid w:val="002C4B31"/>
    <w:rsid w:val="002C4D9F"/>
    <w:rsid w:val="002C5214"/>
    <w:rsid w:val="002C5424"/>
    <w:rsid w:val="002C5670"/>
    <w:rsid w:val="002C58BE"/>
    <w:rsid w:val="002C597D"/>
    <w:rsid w:val="002C5B50"/>
    <w:rsid w:val="002C60F2"/>
    <w:rsid w:val="002C614B"/>
    <w:rsid w:val="002C61CD"/>
    <w:rsid w:val="002C6331"/>
    <w:rsid w:val="002C6344"/>
    <w:rsid w:val="002C6A83"/>
    <w:rsid w:val="002C7196"/>
    <w:rsid w:val="002C7300"/>
    <w:rsid w:val="002C739E"/>
    <w:rsid w:val="002C73B0"/>
    <w:rsid w:val="002C7A5D"/>
    <w:rsid w:val="002C7F26"/>
    <w:rsid w:val="002C7F9A"/>
    <w:rsid w:val="002D06A7"/>
    <w:rsid w:val="002D0DE5"/>
    <w:rsid w:val="002D1D53"/>
    <w:rsid w:val="002D276C"/>
    <w:rsid w:val="002D302A"/>
    <w:rsid w:val="002D3244"/>
    <w:rsid w:val="002D37D7"/>
    <w:rsid w:val="002D38D9"/>
    <w:rsid w:val="002D39F8"/>
    <w:rsid w:val="002D4419"/>
    <w:rsid w:val="002D49D9"/>
    <w:rsid w:val="002D4A7E"/>
    <w:rsid w:val="002D4E3E"/>
    <w:rsid w:val="002D5055"/>
    <w:rsid w:val="002D5204"/>
    <w:rsid w:val="002D5302"/>
    <w:rsid w:val="002D544E"/>
    <w:rsid w:val="002D56B3"/>
    <w:rsid w:val="002D5AAC"/>
    <w:rsid w:val="002D5AD4"/>
    <w:rsid w:val="002D6039"/>
    <w:rsid w:val="002D6053"/>
    <w:rsid w:val="002D62D6"/>
    <w:rsid w:val="002D6448"/>
    <w:rsid w:val="002D64A0"/>
    <w:rsid w:val="002D6FBD"/>
    <w:rsid w:val="002D70E9"/>
    <w:rsid w:val="002D7F30"/>
    <w:rsid w:val="002E06E5"/>
    <w:rsid w:val="002E1619"/>
    <w:rsid w:val="002E1B8C"/>
    <w:rsid w:val="002E2BEE"/>
    <w:rsid w:val="002E2BFA"/>
    <w:rsid w:val="002E30BD"/>
    <w:rsid w:val="002E3975"/>
    <w:rsid w:val="002E3D58"/>
    <w:rsid w:val="002E4028"/>
    <w:rsid w:val="002E4155"/>
    <w:rsid w:val="002E419B"/>
    <w:rsid w:val="002E492D"/>
    <w:rsid w:val="002E4ABF"/>
    <w:rsid w:val="002E4FC8"/>
    <w:rsid w:val="002E5783"/>
    <w:rsid w:val="002E5C5C"/>
    <w:rsid w:val="002E5E05"/>
    <w:rsid w:val="002E761B"/>
    <w:rsid w:val="002E7C1B"/>
    <w:rsid w:val="002E7CDF"/>
    <w:rsid w:val="002F1C6A"/>
    <w:rsid w:val="002F3803"/>
    <w:rsid w:val="002F3B53"/>
    <w:rsid w:val="002F4081"/>
    <w:rsid w:val="002F438B"/>
    <w:rsid w:val="002F45DE"/>
    <w:rsid w:val="002F4753"/>
    <w:rsid w:val="002F4E6D"/>
    <w:rsid w:val="002F535F"/>
    <w:rsid w:val="002F554A"/>
    <w:rsid w:val="002F55F4"/>
    <w:rsid w:val="002F5835"/>
    <w:rsid w:val="002F5BFB"/>
    <w:rsid w:val="002F5EE1"/>
    <w:rsid w:val="002F5EF0"/>
    <w:rsid w:val="002F5F2B"/>
    <w:rsid w:val="002F6F59"/>
    <w:rsid w:val="002F7BEF"/>
    <w:rsid w:val="002F7CE1"/>
    <w:rsid w:val="002F7D8C"/>
    <w:rsid w:val="003002DD"/>
    <w:rsid w:val="00300A02"/>
    <w:rsid w:val="00300AAA"/>
    <w:rsid w:val="0030110F"/>
    <w:rsid w:val="003012FA"/>
    <w:rsid w:val="00302549"/>
    <w:rsid w:val="00302C7B"/>
    <w:rsid w:val="00302D45"/>
    <w:rsid w:val="00302FA3"/>
    <w:rsid w:val="003030F9"/>
    <w:rsid w:val="003030FB"/>
    <w:rsid w:val="0030321B"/>
    <w:rsid w:val="0030335A"/>
    <w:rsid w:val="00303621"/>
    <w:rsid w:val="003036B4"/>
    <w:rsid w:val="00303973"/>
    <w:rsid w:val="00303ED1"/>
    <w:rsid w:val="00303EE6"/>
    <w:rsid w:val="00303FA1"/>
    <w:rsid w:val="003043BC"/>
    <w:rsid w:val="00304B65"/>
    <w:rsid w:val="00304BE2"/>
    <w:rsid w:val="00304C75"/>
    <w:rsid w:val="00305264"/>
    <w:rsid w:val="00305763"/>
    <w:rsid w:val="00305795"/>
    <w:rsid w:val="00305C73"/>
    <w:rsid w:val="00305D15"/>
    <w:rsid w:val="00305ED0"/>
    <w:rsid w:val="00306129"/>
    <w:rsid w:val="00306195"/>
    <w:rsid w:val="0030637B"/>
    <w:rsid w:val="0030696E"/>
    <w:rsid w:val="003075AE"/>
    <w:rsid w:val="003077E0"/>
    <w:rsid w:val="0031058F"/>
    <w:rsid w:val="00310B79"/>
    <w:rsid w:val="00310DF7"/>
    <w:rsid w:val="00311269"/>
    <w:rsid w:val="0031151D"/>
    <w:rsid w:val="00311878"/>
    <w:rsid w:val="00311E78"/>
    <w:rsid w:val="003127BB"/>
    <w:rsid w:val="0031288E"/>
    <w:rsid w:val="00312B3B"/>
    <w:rsid w:val="00312D14"/>
    <w:rsid w:val="00313474"/>
    <w:rsid w:val="00313971"/>
    <w:rsid w:val="00314009"/>
    <w:rsid w:val="003147D7"/>
    <w:rsid w:val="003147DB"/>
    <w:rsid w:val="003148F5"/>
    <w:rsid w:val="00314BCF"/>
    <w:rsid w:val="003152DC"/>
    <w:rsid w:val="00316E08"/>
    <w:rsid w:val="00317199"/>
    <w:rsid w:val="00317478"/>
    <w:rsid w:val="003177B3"/>
    <w:rsid w:val="00317E74"/>
    <w:rsid w:val="003204DB"/>
    <w:rsid w:val="00320758"/>
    <w:rsid w:val="0032099D"/>
    <w:rsid w:val="00320C2C"/>
    <w:rsid w:val="00320E7B"/>
    <w:rsid w:val="00320EA6"/>
    <w:rsid w:val="00320EB2"/>
    <w:rsid w:val="0032148C"/>
    <w:rsid w:val="00321B8D"/>
    <w:rsid w:val="003222E9"/>
    <w:rsid w:val="00322515"/>
    <w:rsid w:val="00322651"/>
    <w:rsid w:val="00322989"/>
    <w:rsid w:val="00322C74"/>
    <w:rsid w:val="003234F3"/>
    <w:rsid w:val="003239AE"/>
    <w:rsid w:val="00324089"/>
    <w:rsid w:val="003240EC"/>
    <w:rsid w:val="00324266"/>
    <w:rsid w:val="0032478F"/>
    <w:rsid w:val="003249EA"/>
    <w:rsid w:val="003254F8"/>
    <w:rsid w:val="00325D91"/>
    <w:rsid w:val="00326204"/>
    <w:rsid w:val="00326570"/>
    <w:rsid w:val="003268B1"/>
    <w:rsid w:val="0032693A"/>
    <w:rsid w:val="00326C2F"/>
    <w:rsid w:val="00326E67"/>
    <w:rsid w:val="003274C9"/>
    <w:rsid w:val="003274FD"/>
    <w:rsid w:val="00327623"/>
    <w:rsid w:val="00327BF6"/>
    <w:rsid w:val="003306DA"/>
    <w:rsid w:val="00330B32"/>
    <w:rsid w:val="00330D90"/>
    <w:rsid w:val="003310A3"/>
    <w:rsid w:val="0033158B"/>
    <w:rsid w:val="003320FA"/>
    <w:rsid w:val="003324A9"/>
    <w:rsid w:val="00332925"/>
    <w:rsid w:val="00332E47"/>
    <w:rsid w:val="003336D4"/>
    <w:rsid w:val="00333B79"/>
    <w:rsid w:val="003344A3"/>
    <w:rsid w:val="00334CCF"/>
    <w:rsid w:val="0033518F"/>
    <w:rsid w:val="00335392"/>
    <w:rsid w:val="003355F1"/>
    <w:rsid w:val="00335848"/>
    <w:rsid w:val="00335C1B"/>
    <w:rsid w:val="003361F4"/>
    <w:rsid w:val="003366F1"/>
    <w:rsid w:val="00337033"/>
    <w:rsid w:val="0033715F"/>
    <w:rsid w:val="0033763B"/>
    <w:rsid w:val="003377CC"/>
    <w:rsid w:val="003379C0"/>
    <w:rsid w:val="00340079"/>
    <w:rsid w:val="00340AEA"/>
    <w:rsid w:val="0034113E"/>
    <w:rsid w:val="003414A1"/>
    <w:rsid w:val="003416B5"/>
    <w:rsid w:val="00341750"/>
    <w:rsid w:val="0034192E"/>
    <w:rsid w:val="00342131"/>
    <w:rsid w:val="0034246C"/>
    <w:rsid w:val="00342528"/>
    <w:rsid w:val="003425F8"/>
    <w:rsid w:val="00342C67"/>
    <w:rsid w:val="00342CE3"/>
    <w:rsid w:val="00342DF6"/>
    <w:rsid w:val="0034314C"/>
    <w:rsid w:val="003432D7"/>
    <w:rsid w:val="003432EC"/>
    <w:rsid w:val="0034342F"/>
    <w:rsid w:val="0034350B"/>
    <w:rsid w:val="00343A79"/>
    <w:rsid w:val="00344073"/>
    <w:rsid w:val="00344C2B"/>
    <w:rsid w:val="00345304"/>
    <w:rsid w:val="00345683"/>
    <w:rsid w:val="0034573A"/>
    <w:rsid w:val="003459E7"/>
    <w:rsid w:val="00345A3F"/>
    <w:rsid w:val="00345C1F"/>
    <w:rsid w:val="00345FF3"/>
    <w:rsid w:val="003464BA"/>
    <w:rsid w:val="00346882"/>
    <w:rsid w:val="00346AF5"/>
    <w:rsid w:val="00346D5D"/>
    <w:rsid w:val="0034748D"/>
    <w:rsid w:val="00347510"/>
    <w:rsid w:val="003475B3"/>
    <w:rsid w:val="00347847"/>
    <w:rsid w:val="003506D4"/>
    <w:rsid w:val="00350740"/>
    <w:rsid w:val="00350965"/>
    <w:rsid w:val="00350ABB"/>
    <w:rsid w:val="00350CD2"/>
    <w:rsid w:val="003510A5"/>
    <w:rsid w:val="003510AA"/>
    <w:rsid w:val="00351B37"/>
    <w:rsid w:val="00351BA7"/>
    <w:rsid w:val="00352AF5"/>
    <w:rsid w:val="00352D7F"/>
    <w:rsid w:val="00352EF5"/>
    <w:rsid w:val="0035303B"/>
    <w:rsid w:val="00353384"/>
    <w:rsid w:val="003533B7"/>
    <w:rsid w:val="00353661"/>
    <w:rsid w:val="00353F44"/>
    <w:rsid w:val="00354799"/>
    <w:rsid w:val="00354AE6"/>
    <w:rsid w:val="00354E7F"/>
    <w:rsid w:val="00355949"/>
    <w:rsid w:val="00355EB7"/>
    <w:rsid w:val="003566DD"/>
    <w:rsid w:val="00356902"/>
    <w:rsid w:val="003569AF"/>
    <w:rsid w:val="00356C85"/>
    <w:rsid w:val="003574E1"/>
    <w:rsid w:val="00357DD3"/>
    <w:rsid w:val="003605B9"/>
    <w:rsid w:val="003607D2"/>
    <w:rsid w:val="00360A09"/>
    <w:rsid w:val="003616B6"/>
    <w:rsid w:val="003618B1"/>
    <w:rsid w:val="00361D29"/>
    <w:rsid w:val="00361E0A"/>
    <w:rsid w:val="00361E23"/>
    <w:rsid w:val="00362A9B"/>
    <w:rsid w:val="003637A6"/>
    <w:rsid w:val="00363DA7"/>
    <w:rsid w:val="00363F72"/>
    <w:rsid w:val="00364A57"/>
    <w:rsid w:val="00365452"/>
    <w:rsid w:val="00365AD1"/>
    <w:rsid w:val="00366342"/>
    <w:rsid w:val="003663A5"/>
    <w:rsid w:val="0036640B"/>
    <w:rsid w:val="003675F8"/>
    <w:rsid w:val="00367624"/>
    <w:rsid w:val="0036762E"/>
    <w:rsid w:val="00367A19"/>
    <w:rsid w:val="00367B3E"/>
    <w:rsid w:val="00370102"/>
    <w:rsid w:val="003703A5"/>
    <w:rsid w:val="00370443"/>
    <w:rsid w:val="003704DA"/>
    <w:rsid w:val="00370CA3"/>
    <w:rsid w:val="0037155B"/>
    <w:rsid w:val="0037198C"/>
    <w:rsid w:val="00371B8B"/>
    <w:rsid w:val="00371CDD"/>
    <w:rsid w:val="00371E29"/>
    <w:rsid w:val="0037286D"/>
    <w:rsid w:val="00372A53"/>
    <w:rsid w:val="00373313"/>
    <w:rsid w:val="0037414A"/>
    <w:rsid w:val="0037430D"/>
    <w:rsid w:val="003743DE"/>
    <w:rsid w:val="00374E61"/>
    <w:rsid w:val="003753BE"/>
    <w:rsid w:val="00375AA5"/>
    <w:rsid w:val="003762A6"/>
    <w:rsid w:val="0037646C"/>
    <w:rsid w:val="00376F1A"/>
    <w:rsid w:val="00377086"/>
    <w:rsid w:val="0037742B"/>
    <w:rsid w:val="0037742D"/>
    <w:rsid w:val="003777F4"/>
    <w:rsid w:val="0038056D"/>
    <w:rsid w:val="003806CE"/>
    <w:rsid w:val="00381677"/>
    <w:rsid w:val="00381854"/>
    <w:rsid w:val="0038247F"/>
    <w:rsid w:val="00382B2F"/>
    <w:rsid w:val="00383988"/>
    <w:rsid w:val="003844E0"/>
    <w:rsid w:val="00384C21"/>
    <w:rsid w:val="00384E52"/>
    <w:rsid w:val="003856F5"/>
    <w:rsid w:val="00385777"/>
    <w:rsid w:val="0038588F"/>
    <w:rsid w:val="003858ED"/>
    <w:rsid w:val="0038684E"/>
    <w:rsid w:val="00386995"/>
    <w:rsid w:val="00386E14"/>
    <w:rsid w:val="00387F7C"/>
    <w:rsid w:val="00390153"/>
    <w:rsid w:val="0039059C"/>
    <w:rsid w:val="0039172A"/>
    <w:rsid w:val="00391F19"/>
    <w:rsid w:val="00391FB6"/>
    <w:rsid w:val="0039262F"/>
    <w:rsid w:val="00392731"/>
    <w:rsid w:val="00392B55"/>
    <w:rsid w:val="00392BD1"/>
    <w:rsid w:val="00392F5B"/>
    <w:rsid w:val="003935E0"/>
    <w:rsid w:val="00393855"/>
    <w:rsid w:val="00393FB6"/>
    <w:rsid w:val="003940EB"/>
    <w:rsid w:val="00394608"/>
    <w:rsid w:val="003956FA"/>
    <w:rsid w:val="00395F35"/>
    <w:rsid w:val="003961D3"/>
    <w:rsid w:val="003963D7"/>
    <w:rsid w:val="003970CD"/>
    <w:rsid w:val="003973FD"/>
    <w:rsid w:val="003977FD"/>
    <w:rsid w:val="00397E00"/>
    <w:rsid w:val="003A02B4"/>
    <w:rsid w:val="003A052C"/>
    <w:rsid w:val="003A09EB"/>
    <w:rsid w:val="003A0FD0"/>
    <w:rsid w:val="003A10F7"/>
    <w:rsid w:val="003A13E7"/>
    <w:rsid w:val="003A1596"/>
    <w:rsid w:val="003A1AA4"/>
    <w:rsid w:val="003A1E45"/>
    <w:rsid w:val="003A2394"/>
    <w:rsid w:val="003A28F7"/>
    <w:rsid w:val="003A3F1E"/>
    <w:rsid w:val="003A4435"/>
    <w:rsid w:val="003A4766"/>
    <w:rsid w:val="003A4903"/>
    <w:rsid w:val="003A4971"/>
    <w:rsid w:val="003A4E9A"/>
    <w:rsid w:val="003A57F7"/>
    <w:rsid w:val="003A5F82"/>
    <w:rsid w:val="003A5FDD"/>
    <w:rsid w:val="003A610D"/>
    <w:rsid w:val="003A65FF"/>
    <w:rsid w:val="003A67A7"/>
    <w:rsid w:val="003A741F"/>
    <w:rsid w:val="003A7954"/>
    <w:rsid w:val="003B07CE"/>
    <w:rsid w:val="003B0E8A"/>
    <w:rsid w:val="003B1457"/>
    <w:rsid w:val="003B1631"/>
    <w:rsid w:val="003B1728"/>
    <w:rsid w:val="003B1A06"/>
    <w:rsid w:val="003B1F21"/>
    <w:rsid w:val="003B240D"/>
    <w:rsid w:val="003B253C"/>
    <w:rsid w:val="003B2E1C"/>
    <w:rsid w:val="003B3070"/>
    <w:rsid w:val="003B319A"/>
    <w:rsid w:val="003B3A0C"/>
    <w:rsid w:val="003B4427"/>
    <w:rsid w:val="003B46A6"/>
    <w:rsid w:val="003B46C7"/>
    <w:rsid w:val="003B4751"/>
    <w:rsid w:val="003B47E6"/>
    <w:rsid w:val="003B50E4"/>
    <w:rsid w:val="003B5372"/>
    <w:rsid w:val="003B58B3"/>
    <w:rsid w:val="003B5AF0"/>
    <w:rsid w:val="003B5CFA"/>
    <w:rsid w:val="003B66A9"/>
    <w:rsid w:val="003B737F"/>
    <w:rsid w:val="003B7572"/>
    <w:rsid w:val="003B7914"/>
    <w:rsid w:val="003B7CD7"/>
    <w:rsid w:val="003C00C7"/>
    <w:rsid w:val="003C0123"/>
    <w:rsid w:val="003C055C"/>
    <w:rsid w:val="003C0DA7"/>
    <w:rsid w:val="003C0E26"/>
    <w:rsid w:val="003C116D"/>
    <w:rsid w:val="003C12FC"/>
    <w:rsid w:val="003C13D2"/>
    <w:rsid w:val="003C1646"/>
    <w:rsid w:val="003C1807"/>
    <w:rsid w:val="003C18C6"/>
    <w:rsid w:val="003C2110"/>
    <w:rsid w:val="003C26AC"/>
    <w:rsid w:val="003C2AAD"/>
    <w:rsid w:val="003C2C95"/>
    <w:rsid w:val="003C2CCE"/>
    <w:rsid w:val="003C2F2A"/>
    <w:rsid w:val="003C3002"/>
    <w:rsid w:val="003C3490"/>
    <w:rsid w:val="003C35FA"/>
    <w:rsid w:val="003C3753"/>
    <w:rsid w:val="003C38F3"/>
    <w:rsid w:val="003C3F57"/>
    <w:rsid w:val="003C4E0C"/>
    <w:rsid w:val="003C5362"/>
    <w:rsid w:val="003C570B"/>
    <w:rsid w:val="003C60ED"/>
    <w:rsid w:val="003C64A9"/>
    <w:rsid w:val="003C698A"/>
    <w:rsid w:val="003C6FFC"/>
    <w:rsid w:val="003C79F6"/>
    <w:rsid w:val="003D007D"/>
    <w:rsid w:val="003D02DD"/>
    <w:rsid w:val="003D0AD0"/>
    <w:rsid w:val="003D0CBE"/>
    <w:rsid w:val="003D0EB3"/>
    <w:rsid w:val="003D10EA"/>
    <w:rsid w:val="003D1734"/>
    <w:rsid w:val="003D2694"/>
    <w:rsid w:val="003D26EE"/>
    <w:rsid w:val="003D45C7"/>
    <w:rsid w:val="003D5AC4"/>
    <w:rsid w:val="003D5D26"/>
    <w:rsid w:val="003D6415"/>
    <w:rsid w:val="003D68DE"/>
    <w:rsid w:val="003D6B17"/>
    <w:rsid w:val="003D6EA4"/>
    <w:rsid w:val="003D6FEC"/>
    <w:rsid w:val="003D714E"/>
    <w:rsid w:val="003D7939"/>
    <w:rsid w:val="003D7AFA"/>
    <w:rsid w:val="003D7B47"/>
    <w:rsid w:val="003D7D92"/>
    <w:rsid w:val="003D7E1F"/>
    <w:rsid w:val="003E014F"/>
    <w:rsid w:val="003E01DE"/>
    <w:rsid w:val="003E0610"/>
    <w:rsid w:val="003E065C"/>
    <w:rsid w:val="003E11FC"/>
    <w:rsid w:val="003E1422"/>
    <w:rsid w:val="003E1533"/>
    <w:rsid w:val="003E17CA"/>
    <w:rsid w:val="003E208F"/>
    <w:rsid w:val="003E2489"/>
    <w:rsid w:val="003E2C36"/>
    <w:rsid w:val="003E2E58"/>
    <w:rsid w:val="003E3748"/>
    <w:rsid w:val="003E3951"/>
    <w:rsid w:val="003E4185"/>
    <w:rsid w:val="003E4768"/>
    <w:rsid w:val="003E506D"/>
    <w:rsid w:val="003E5103"/>
    <w:rsid w:val="003E5205"/>
    <w:rsid w:val="003E52CC"/>
    <w:rsid w:val="003E58D3"/>
    <w:rsid w:val="003E5A78"/>
    <w:rsid w:val="003E5E43"/>
    <w:rsid w:val="003E5F8F"/>
    <w:rsid w:val="003E6447"/>
    <w:rsid w:val="003E659B"/>
    <w:rsid w:val="003E69A0"/>
    <w:rsid w:val="003E69FB"/>
    <w:rsid w:val="003E6FA3"/>
    <w:rsid w:val="003E7444"/>
    <w:rsid w:val="003E74E3"/>
    <w:rsid w:val="003E7809"/>
    <w:rsid w:val="003E7EE8"/>
    <w:rsid w:val="003F09AC"/>
    <w:rsid w:val="003F0C93"/>
    <w:rsid w:val="003F0E42"/>
    <w:rsid w:val="003F1100"/>
    <w:rsid w:val="003F112C"/>
    <w:rsid w:val="003F11CF"/>
    <w:rsid w:val="003F1599"/>
    <w:rsid w:val="003F2502"/>
    <w:rsid w:val="003F26B4"/>
    <w:rsid w:val="003F2AED"/>
    <w:rsid w:val="003F3210"/>
    <w:rsid w:val="003F34A0"/>
    <w:rsid w:val="003F3523"/>
    <w:rsid w:val="003F398A"/>
    <w:rsid w:val="003F3A02"/>
    <w:rsid w:val="003F4121"/>
    <w:rsid w:val="003F4BA1"/>
    <w:rsid w:val="003F4DC3"/>
    <w:rsid w:val="003F4F57"/>
    <w:rsid w:val="003F52E6"/>
    <w:rsid w:val="003F550F"/>
    <w:rsid w:val="003F6117"/>
    <w:rsid w:val="003F62EA"/>
    <w:rsid w:val="003F6A6D"/>
    <w:rsid w:val="003F6B95"/>
    <w:rsid w:val="003F6FCC"/>
    <w:rsid w:val="003F7101"/>
    <w:rsid w:val="003F78D1"/>
    <w:rsid w:val="003F7983"/>
    <w:rsid w:val="003F7A10"/>
    <w:rsid w:val="003F7CF9"/>
    <w:rsid w:val="00400287"/>
    <w:rsid w:val="004002FF"/>
    <w:rsid w:val="0040094B"/>
    <w:rsid w:val="004013F1"/>
    <w:rsid w:val="00401D7C"/>
    <w:rsid w:val="00401E6C"/>
    <w:rsid w:val="00402039"/>
    <w:rsid w:val="00402BF5"/>
    <w:rsid w:val="0040332B"/>
    <w:rsid w:val="004036ED"/>
    <w:rsid w:val="00403A87"/>
    <w:rsid w:val="00403AF4"/>
    <w:rsid w:val="00404BEF"/>
    <w:rsid w:val="00404D47"/>
    <w:rsid w:val="00404D7E"/>
    <w:rsid w:val="0040595C"/>
    <w:rsid w:val="00406145"/>
    <w:rsid w:val="00406168"/>
    <w:rsid w:val="00406A44"/>
    <w:rsid w:val="004076BB"/>
    <w:rsid w:val="00407C1A"/>
    <w:rsid w:val="00407D48"/>
    <w:rsid w:val="00407D86"/>
    <w:rsid w:val="00407E6C"/>
    <w:rsid w:val="0041078E"/>
    <w:rsid w:val="00410921"/>
    <w:rsid w:val="0041100F"/>
    <w:rsid w:val="00411364"/>
    <w:rsid w:val="004118AF"/>
    <w:rsid w:val="00411AEC"/>
    <w:rsid w:val="00412158"/>
    <w:rsid w:val="0041244E"/>
    <w:rsid w:val="0041246F"/>
    <w:rsid w:val="0041285A"/>
    <w:rsid w:val="00412B19"/>
    <w:rsid w:val="00412FDD"/>
    <w:rsid w:val="00413599"/>
    <w:rsid w:val="00413C69"/>
    <w:rsid w:val="00413D2B"/>
    <w:rsid w:val="00413DFA"/>
    <w:rsid w:val="0041416D"/>
    <w:rsid w:val="004144DA"/>
    <w:rsid w:val="004148F4"/>
    <w:rsid w:val="00414983"/>
    <w:rsid w:val="00414B19"/>
    <w:rsid w:val="0041502B"/>
    <w:rsid w:val="004155FB"/>
    <w:rsid w:val="00415717"/>
    <w:rsid w:val="00415B0D"/>
    <w:rsid w:val="00415BAE"/>
    <w:rsid w:val="00415ED0"/>
    <w:rsid w:val="00416064"/>
    <w:rsid w:val="00416429"/>
    <w:rsid w:val="0041653E"/>
    <w:rsid w:val="0041664B"/>
    <w:rsid w:val="00416EBA"/>
    <w:rsid w:val="004177D4"/>
    <w:rsid w:val="00417C0B"/>
    <w:rsid w:val="00417EA2"/>
    <w:rsid w:val="00417F47"/>
    <w:rsid w:val="00420036"/>
    <w:rsid w:val="0042046B"/>
    <w:rsid w:val="00421FA8"/>
    <w:rsid w:val="00422402"/>
    <w:rsid w:val="0042257B"/>
    <w:rsid w:val="00422650"/>
    <w:rsid w:val="0042289A"/>
    <w:rsid w:val="004228CC"/>
    <w:rsid w:val="00422E34"/>
    <w:rsid w:val="0042332E"/>
    <w:rsid w:val="0042354B"/>
    <w:rsid w:val="004241EF"/>
    <w:rsid w:val="004242C6"/>
    <w:rsid w:val="004243A5"/>
    <w:rsid w:val="004245DE"/>
    <w:rsid w:val="00424C7F"/>
    <w:rsid w:val="00424DF0"/>
    <w:rsid w:val="004251C2"/>
    <w:rsid w:val="00425364"/>
    <w:rsid w:val="00425641"/>
    <w:rsid w:val="004259CA"/>
    <w:rsid w:val="00425D30"/>
    <w:rsid w:val="00425E1A"/>
    <w:rsid w:val="00425F17"/>
    <w:rsid w:val="00426165"/>
    <w:rsid w:val="004262C0"/>
    <w:rsid w:val="00426B01"/>
    <w:rsid w:val="00426B31"/>
    <w:rsid w:val="00426FF2"/>
    <w:rsid w:val="00427183"/>
    <w:rsid w:val="00427347"/>
    <w:rsid w:val="00427E2E"/>
    <w:rsid w:val="00430121"/>
    <w:rsid w:val="004304F1"/>
    <w:rsid w:val="00430CF4"/>
    <w:rsid w:val="004311FE"/>
    <w:rsid w:val="00431C74"/>
    <w:rsid w:val="00431CC4"/>
    <w:rsid w:val="00431E19"/>
    <w:rsid w:val="0043206D"/>
    <w:rsid w:val="004320A8"/>
    <w:rsid w:val="004323B2"/>
    <w:rsid w:val="0043244C"/>
    <w:rsid w:val="00432600"/>
    <w:rsid w:val="00432BF3"/>
    <w:rsid w:val="004331D2"/>
    <w:rsid w:val="0043331C"/>
    <w:rsid w:val="0043349D"/>
    <w:rsid w:val="00433B49"/>
    <w:rsid w:val="00434204"/>
    <w:rsid w:val="00434333"/>
    <w:rsid w:val="00434648"/>
    <w:rsid w:val="00435310"/>
    <w:rsid w:val="00435AD7"/>
    <w:rsid w:val="00436043"/>
    <w:rsid w:val="004360FC"/>
    <w:rsid w:val="00436183"/>
    <w:rsid w:val="0043619D"/>
    <w:rsid w:val="00436343"/>
    <w:rsid w:val="00436CD1"/>
    <w:rsid w:val="004374B5"/>
    <w:rsid w:val="00437639"/>
    <w:rsid w:val="00437685"/>
    <w:rsid w:val="00437DAF"/>
    <w:rsid w:val="00440C95"/>
    <w:rsid w:val="00440E78"/>
    <w:rsid w:val="00441703"/>
    <w:rsid w:val="004424C1"/>
    <w:rsid w:val="004425D3"/>
    <w:rsid w:val="004432FF"/>
    <w:rsid w:val="00443346"/>
    <w:rsid w:val="004433FD"/>
    <w:rsid w:val="00443B9C"/>
    <w:rsid w:val="00443C6E"/>
    <w:rsid w:val="00443CE7"/>
    <w:rsid w:val="00443DDB"/>
    <w:rsid w:val="00443E3A"/>
    <w:rsid w:val="00443E9F"/>
    <w:rsid w:val="00443FF9"/>
    <w:rsid w:val="004445D7"/>
    <w:rsid w:val="00444B73"/>
    <w:rsid w:val="00444F7C"/>
    <w:rsid w:val="00445301"/>
    <w:rsid w:val="00445443"/>
    <w:rsid w:val="004457B3"/>
    <w:rsid w:val="00445A04"/>
    <w:rsid w:val="00445B79"/>
    <w:rsid w:val="00445DF6"/>
    <w:rsid w:val="004463C6"/>
    <w:rsid w:val="004469C8"/>
    <w:rsid w:val="00446AA9"/>
    <w:rsid w:val="00446C23"/>
    <w:rsid w:val="00446E06"/>
    <w:rsid w:val="00447369"/>
    <w:rsid w:val="004475F9"/>
    <w:rsid w:val="004479E5"/>
    <w:rsid w:val="00447A1A"/>
    <w:rsid w:val="00447B29"/>
    <w:rsid w:val="00447FB2"/>
    <w:rsid w:val="00447FB8"/>
    <w:rsid w:val="0045020E"/>
    <w:rsid w:val="0045093A"/>
    <w:rsid w:val="00450DDD"/>
    <w:rsid w:val="00450EA9"/>
    <w:rsid w:val="00450FDF"/>
    <w:rsid w:val="0045128D"/>
    <w:rsid w:val="00451B29"/>
    <w:rsid w:val="0045235D"/>
    <w:rsid w:val="00452936"/>
    <w:rsid w:val="00452DE8"/>
    <w:rsid w:val="00453035"/>
    <w:rsid w:val="0045306C"/>
    <w:rsid w:val="004531CE"/>
    <w:rsid w:val="004532A2"/>
    <w:rsid w:val="00453303"/>
    <w:rsid w:val="00453327"/>
    <w:rsid w:val="00453565"/>
    <w:rsid w:val="00453731"/>
    <w:rsid w:val="00453922"/>
    <w:rsid w:val="00453EA1"/>
    <w:rsid w:val="004543C4"/>
    <w:rsid w:val="004545B0"/>
    <w:rsid w:val="00454DEB"/>
    <w:rsid w:val="004558C0"/>
    <w:rsid w:val="0045620E"/>
    <w:rsid w:val="004567FD"/>
    <w:rsid w:val="004569A0"/>
    <w:rsid w:val="004579C9"/>
    <w:rsid w:val="00457E8E"/>
    <w:rsid w:val="00457F84"/>
    <w:rsid w:val="0046041E"/>
    <w:rsid w:val="004605B7"/>
    <w:rsid w:val="00460CC1"/>
    <w:rsid w:val="004617A6"/>
    <w:rsid w:val="00461B3E"/>
    <w:rsid w:val="00461BC7"/>
    <w:rsid w:val="00461D52"/>
    <w:rsid w:val="00461F6C"/>
    <w:rsid w:val="004621E6"/>
    <w:rsid w:val="004623AE"/>
    <w:rsid w:val="00462799"/>
    <w:rsid w:val="00462AE5"/>
    <w:rsid w:val="00462CA4"/>
    <w:rsid w:val="00462F80"/>
    <w:rsid w:val="0046349E"/>
    <w:rsid w:val="0046362C"/>
    <w:rsid w:val="0046385B"/>
    <w:rsid w:val="0046386C"/>
    <w:rsid w:val="004638E8"/>
    <w:rsid w:val="00463C8A"/>
    <w:rsid w:val="00463D87"/>
    <w:rsid w:val="00463F2B"/>
    <w:rsid w:val="00464457"/>
    <w:rsid w:val="0046455F"/>
    <w:rsid w:val="00464990"/>
    <w:rsid w:val="00465508"/>
    <w:rsid w:val="0046608B"/>
    <w:rsid w:val="00466276"/>
    <w:rsid w:val="00466806"/>
    <w:rsid w:val="00466872"/>
    <w:rsid w:val="00466E7C"/>
    <w:rsid w:val="00467157"/>
    <w:rsid w:val="00470218"/>
    <w:rsid w:val="004706A9"/>
    <w:rsid w:val="004709A9"/>
    <w:rsid w:val="00470E95"/>
    <w:rsid w:val="004712CF"/>
    <w:rsid w:val="004719AC"/>
    <w:rsid w:val="00471BA5"/>
    <w:rsid w:val="00471F68"/>
    <w:rsid w:val="004725AE"/>
    <w:rsid w:val="00473349"/>
    <w:rsid w:val="00473C15"/>
    <w:rsid w:val="00473EF5"/>
    <w:rsid w:val="00474038"/>
    <w:rsid w:val="00474630"/>
    <w:rsid w:val="0047469C"/>
    <w:rsid w:val="00474830"/>
    <w:rsid w:val="00474C2F"/>
    <w:rsid w:val="00474EA2"/>
    <w:rsid w:val="0047581E"/>
    <w:rsid w:val="00475B3B"/>
    <w:rsid w:val="00475D7C"/>
    <w:rsid w:val="00475F61"/>
    <w:rsid w:val="0047641B"/>
    <w:rsid w:val="0047669F"/>
    <w:rsid w:val="00476B7C"/>
    <w:rsid w:val="00476CDD"/>
    <w:rsid w:val="00477989"/>
    <w:rsid w:val="00480034"/>
    <w:rsid w:val="00480093"/>
    <w:rsid w:val="0048024F"/>
    <w:rsid w:val="00480629"/>
    <w:rsid w:val="00480A4D"/>
    <w:rsid w:val="00480CD8"/>
    <w:rsid w:val="0048145C"/>
    <w:rsid w:val="004815DC"/>
    <w:rsid w:val="00481764"/>
    <w:rsid w:val="00482750"/>
    <w:rsid w:val="00482902"/>
    <w:rsid w:val="00482BEB"/>
    <w:rsid w:val="00482D45"/>
    <w:rsid w:val="00482EAB"/>
    <w:rsid w:val="0048335F"/>
    <w:rsid w:val="0048355A"/>
    <w:rsid w:val="0048493B"/>
    <w:rsid w:val="004849DC"/>
    <w:rsid w:val="00484DAA"/>
    <w:rsid w:val="0048504C"/>
    <w:rsid w:val="004858E9"/>
    <w:rsid w:val="00485F4D"/>
    <w:rsid w:val="00486233"/>
    <w:rsid w:val="0048664D"/>
    <w:rsid w:val="004871DA"/>
    <w:rsid w:val="004875AB"/>
    <w:rsid w:val="004878D8"/>
    <w:rsid w:val="00487A24"/>
    <w:rsid w:val="00487E2E"/>
    <w:rsid w:val="00490145"/>
    <w:rsid w:val="00490210"/>
    <w:rsid w:val="004903DE"/>
    <w:rsid w:val="004904DA"/>
    <w:rsid w:val="00490D39"/>
    <w:rsid w:val="00491120"/>
    <w:rsid w:val="00491410"/>
    <w:rsid w:val="004916E3"/>
    <w:rsid w:val="00491B5A"/>
    <w:rsid w:val="00491D5F"/>
    <w:rsid w:val="00491F83"/>
    <w:rsid w:val="00492CAE"/>
    <w:rsid w:val="00493331"/>
    <w:rsid w:val="004933DA"/>
    <w:rsid w:val="0049387F"/>
    <w:rsid w:val="00493A3D"/>
    <w:rsid w:val="00493E55"/>
    <w:rsid w:val="004941FA"/>
    <w:rsid w:val="00494288"/>
    <w:rsid w:val="00494893"/>
    <w:rsid w:val="00494913"/>
    <w:rsid w:val="00494F97"/>
    <w:rsid w:val="00495506"/>
    <w:rsid w:val="00495F5B"/>
    <w:rsid w:val="00496515"/>
    <w:rsid w:val="00496636"/>
    <w:rsid w:val="0049675D"/>
    <w:rsid w:val="00496E79"/>
    <w:rsid w:val="00496FD6"/>
    <w:rsid w:val="004974A0"/>
    <w:rsid w:val="0049771F"/>
    <w:rsid w:val="004978C8"/>
    <w:rsid w:val="00497A08"/>
    <w:rsid w:val="00497E89"/>
    <w:rsid w:val="00497E91"/>
    <w:rsid w:val="004A0038"/>
    <w:rsid w:val="004A0AF3"/>
    <w:rsid w:val="004A0BD5"/>
    <w:rsid w:val="004A1C54"/>
    <w:rsid w:val="004A1CCD"/>
    <w:rsid w:val="004A1F31"/>
    <w:rsid w:val="004A2841"/>
    <w:rsid w:val="004A2FFA"/>
    <w:rsid w:val="004A35DB"/>
    <w:rsid w:val="004A3649"/>
    <w:rsid w:val="004A3B5C"/>
    <w:rsid w:val="004A3BE2"/>
    <w:rsid w:val="004A3F93"/>
    <w:rsid w:val="004A4955"/>
    <w:rsid w:val="004A4ABA"/>
    <w:rsid w:val="004A531F"/>
    <w:rsid w:val="004A5578"/>
    <w:rsid w:val="004A5669"/>
    <w:rsid w:val="004A683B"/>
    <w:rsid w:val="004A6B8E"/>
    <w:rsid w:val="004A73A3"/>
    <w:rsid w:val="004A789F"/>
    <w:rsid w:val="004A7C91"/>
    <w:rsid w:val="004A7DCF"/>
    <w:rsid w:val="004B019D"/>
    <w:rsid w:val="004B0410"/>
    <w:rsid w:val="004B078E"/>
    <w:rsid w:val="004B0DDF"/>
    <w:rsid w:val="004B11BB"/>
    <w:rsid w:val="004B1A0F"/>
    <w:rsid w:val="004B24CB"/>
    <w:rsid w:val="004B2891"/>
    <w:rsid w:val="004B289D"/>
    <w:rsid w:val="004B2B51"/>
    <w:rsid w:val="004B35D5"/>
    <w:rsid w:val="004B405F"/>
    <w:rsid w:val="004B4501"/>
    <w:rsid w:val="004B4655"/>
    <w:rsid w:val="004B49C0"/>
    <w:rsid w:val="004B5125"/>
    <w:rsid w:val="004B5202"/>
    <w:rsid w:val="004B532E"/>
    <w:rsid w:val="004B53E6"/>
    <w:rsid w:val="004B5470"/>
    <w:rsid w:val="004B5EFC"/>
    <w:rsid w:val="004B62CF"/>
    <w:rsid w:val="004B670A"/>
    <w:rsid w:val="004B73DE"/>
    <w:rsid w:val="004C04E9"/>
    <w:rsid w:val="004C0504"/>
    <w:rsid w:val="004C05E2"/>
    <w:rsid w:val="004C09F7"/>
    <w:rsid w:val="004C0DA0"/>
    <w:rsid w:val="004C0F81"/>
    <w:rsid w:val="004C1082"/>
    <w:rsid w:val="004C1D5C"/>
    <w:rsid w:val="004C1F31"/>
    <w:rsid w:val="004C212B"/>
    <w:rsid w:val="004C249F"/>
    <w:rsid w:val="004C24A4"/>
    <w:rsid w:val="004C24FB"/>
    <w:rsid w:val="004C27BA"/>
    <w:rsid w:val="004C299A"/>
    <w:rsid w:val="004C2A7E"/>
    <w:rsid w:val="004C2EFE"/>
    <w:rsid w:val="004C343C"/>
    <w:rsid w:val="004C359E"/>
    <w:rsid w:val="004C35C8"/>
    <w:rsid w:val="004C3798"/>
    <w:rsid w:val="004C3B73"/>
    <w:rsid w:val="004C3CA5"/>
    <w:rsid w:val="004C3EE3"/>
    <w:rsid w:val="004C4A75"/>
    <w:rsid w:val="004C4D35"/>
    <w:rsid w:val="004C52F5"/>
    <w:rsid w:val="004C5D96"/>
    <w:rsid w:val="004C6295"/>
    <w:rsid w:val="004C64DD"/>
    <w:rsid w:val="004C6A0D"/>
    <w:rsid w:val="004C6DC3"/>
    <w:rsid w:val="004C6F72"/>
    <w:rsid w:val="004C79F9"/>
    <w:rsid w:val="004C7CEA"/>
    <w:rsid w:val="004D021D"/>
    <w:rsid w:val="004D05E2"/>
    <w:rsid w:val="004D0829"/>
    <w:rsid w:val="004D0C56"/>
    <w:rsid w:val="004D0D9C"/>
    <w:rsid w:val="004D0F14"/>
    <w:rsid w:val="004D0F47"/>
    <w:rsid w:val="004D1335"/>
    <w:rsid w:val="004D1580"/>
    <w:rsid w:val="004D1BCC"/>
    <w:rsid w:val="004D2150"/>
    <w:rsid w:val="004D2609"/>
    <w:rsid w:val="004D2C81"/>
    <w:rsid w:val="004D2C9C"/>
    <w:rsid w:val="004D3321"/>
    <w:rsid w:val="004D3440"/>
    <w:rsid w:val="004D3607"/>
    <w:rsid w:val="004D395B"/>
    <w:rsid w:val="004D43C4"/>
    <w:rsid w:val="004D455E"/>
    <w:rsid w:val="004D48AC"/>
    <w:rsid w:val="004D4F44"/>
    <w:rsid w:val="004D517B"/>
    <w:rsid w:val="004D51D9"/>
    <w:rsid w:val="004D51EA"/>
    <w:rsid w:val="004D54B7"/>
    <w:rsid w:val="004D57B6"/>
    <w:rsid w:val="004D5B72"/>
    <w:rsid w:val="004D6562"/>
    <w:rsid w:val="004D69E3"/>
    <w:rsid w:val="004D6A0D"/>
    <w:rsid w:val="004D7AB5"/>
    <w:rsid w:val="004D7D75"/>
    <w:rsid w:val="004E0073"/>
    <w:rsid w:val="004E031B"/>
    <w:rsid w:val="004E0D27"/>
    <w:rsid w:val="004E0E47"/>
    <w:rsid w:val="004E1599"/>
    <w:rsid w:val="004E1726"/>
    <w:rsid w:val="004E182D"/>
    <w:rsid w:val="004E1D83"/>
    <w:rsid w:val="004E1E40"/>
    <w:rsid w:val="004E21C0"/>
    <w:rsid w:val="004E2421"/>
    <w:rsid w:val="004E25A3"/>
    <w:rsid w:val="004E2803"/>
    <w:rsid w:val="004E337F"/>
    <w:rsid w:val="004E39E6"/>
    <w:rsid w:val="004E3AD8"/>
    <w:rsid w:val="004E430B"/>
    <w:rsid w:val="004E456F"/>
    <w:rsid w:val="004E4737"/>
    <w:rsid w:val="004E4791"/>
    <w:rsid w:val="004E4A03"/>
    <w:rsid w:val="004E4CB6"/>
    <w:rsid w:val="004E5429"/>
    <w:rsid w:val="004E6071"/>
    <w:rsid w:val="004E616B"/>
    <w:rsid w:val="004E66F2"/>
    <w:rsid w:val="004E6B11"/>
    <w:rsid w:val="004E6B1F"/>
    <w:rsid w:val="004E6B39"/>
    <w:rsid w:val="004E6B8B"/>
    <w:rsid w:val="004E6B99"/>
    <w:rsid w:val="004E7156"/>
    <w:rsid w:val="004E736B"/>
    <w:rsid w:val="004E7EFF"/>
    <w:rsid w:val="004E7F8B"/>
    <w:rsid w:val="004F0A89"/>
    <w:rsid w:val="004F10A1"/>
    <w:rsid w:val="004F1A8E"/>
    <w:rsid w:val="004F1AF0"/>
    <w:rsid w:val="004F1FE3"/>
    <w:rsid w:val="004F2759"/>
    <w:rsid w:val="004F2B1D"/>
    <w:rsid w:val="004F3310"/>
    <w:rsid w:val="004F3AE8"/>
    <w:rsid w:val="004F424C"/>
    <w:rsid w:val="004F47CA"/>
    <w:rsid w:val="004F4A27"/>
    <w:rsid w:val="004F50A8"/>
    <w:rsid w:val="004F50F8"/>
    <w:rsid w:val="004F522C"/>
    <w:rsid w:val="004F5D4F"/>
    <w:rsid w:val="004F5D6A"/>
    <w:rsid w:val="004F5EDF"/>
    <w:rsid w:val="004F6C88"/>
    <w:rsid w:val="004F7EDD"/>
    <w:rsid w:val="005001E9"/>
    <w:rsid w:val="00500573"/>
    <w:rsid w:val="00500CB7"/>
    <w:rsid w:val="005013A9"/>
    <w:rsid w:val="005017C8"/>
    <w:rsid w:val="005023E8"/>
    <w:rsid w:val="0050268A"/>
    <w:rsid w:val="00502A69"/>
    <w:rsid w:val="00502C69"/>
    <w:rsid w:val="00503066"/>
    <w:rsid w:val="00503584"/>
    <w:rsid w:val="00503821"/>
    <w:rsid w:val="00503CAA"/>
    <w:rsid w:val="00503D62"/>
    <w:rsid w:val="00503EB8"/>
    <w:rsid w:val="005043F1"/>
    <w:rsid w:val="00504867"/>
    <w:rsid w:val="00504CCF"/>
    <w:rsid w:val="00504E16"/>
    <w:rsid w:val="00505A5F"/>
    <w:rsid w:val="00505EFE"/>
    <w:rsid w:val="005060CF"/>
    <w:rsid w:val="00506191"/>
    <w:rsid w:val="00506392"/>
    <w:rsid w:val="0050675C"/>
    <w:rsid w:val="005072A3"/>
    <w:rsid w:val="0050751F"/>
    <w:rsid w:val="005076A1"/>
    <w:rsid w:val="005077C3"/>
    <w:rsid w:val="0050797F"/>
    <w:rsid w:val="00507D3B"/>
    <w:rsid w:val="005108E5"/>
    <w:rsid w:val="00510B0B"/>
    <w:rsid w:val="00510FF4"/>
    <w:rsid w:val="005110D2"/>
    <w:rsid w:val="005110EE"/>
    <w:rsid w:val="00511204"/>
    <w:rsid w:val="005114C6"/>
    <w:rsid w:val="005115BA"/>
    <w:rsid w:val="00511A21"/>
    <w:rsid w:val="00511D36"/>
    <w:rsid w:val="005125AA"/>
    <w:rsid w:val="005125F0"/>
    <w:rsid w:val="00512945"/>
    <w:rsid w:val="00512991"/>
    <w:rsid w:val="00512A91"/>
    <w:rsid w:val="005131EF"/>
    <w:rsid w:val="0051329F"/>
    <w:rsid w:val="00513612"/>
    <w:rsid w:val="00513728"/>
    <w:rsid w:val="005139B8"/>
    <w:rsid w:val="0051414D"/>
    <w:rsid w:val="00514542"/>
    <w:rsid w:val="0051491D"/>
    <w:rsid w:val="00514926"/>
    <w:rsid w:val="00514B81"/>
    <w:rsid w:val="00514EA8"/>
    <w:rsid w:val="005155F1"/>
    <w:rsid w:val="005164DC"/>
    <w:rsid w:val="005172C2"/>
    <w:rsid w:val="005172D0"/>
    <w:rsid w:val="00517955"/>
    <w:rsid w:val="00517BC0"/>
    <w:rsid w:val="00517C9D"/>
    <w:rsid w:val="00517FA9"/>
    <w:rsid w:val="005203D6"/>
    <w:rsid w:val="005205BC"/>
    <w:rsid w:val="005205FF"/>
    <w:rsid w:val="0052064F"/>
    <w:rsid w:val="005216C5"/>
    <w:rsid w:val="00521C1F"/>
    <w:rsid w:val="00521C4C"/>
    <w:rsid w:val="0052249F"/>
    <w:rsid w:val="00522757"/>
    <w:rsid w:val="00522C51"/>
    <w:rsid w:val="00522F20"/>
    <w:rsid w:val="0052323D"/>
    <w:rsid w:val="0052350B"/>
    <w:rsid w:val="005236D9"/>
    <w:rsid w:val="005246FC"/>
    <w:rsid w:val="00524766"/>
    <w:rsid w:val="00524A7F"/>
    <w:rsid w:val="00524AB5"/>
    <w:rsid w:val="00524C89"/>
    <w:rsid w:val="00525388"/>
    <w:rsid w:val="00526047"/>
    <w:rsid w:val="00526560"/>
    <w:rsid w:val="005268C3"/>
    <w:rsid w:val="00526B09"/>
    <w:rsid w:val="00526EE2"/>
    <w:rsid w:val="005273DC"/>
    <w:rsid w:val="0052765C"/>
    <w:rsid w:val="005277F5"/>
    <w:rsid w:val="005301C9"/>
    <w:rsid w:val="005304FD"/>
    <w:rsid w:val="0053077E"/>
    <w:rsid w:val="00530C3A"/>
    <w:rsid w:val="00531000"/>
    <w:rsid w:val="005319BB"/>
    <w:rsid w:val="00531B96"/>
    <w:rsid w:val="00531D69"/>
    <w:rsid w:val="00532349"/>
    <w:rsid w:val="0053286A"/>
    <w:rsid w:val="00532A48"/>
    <w:rsid w:val="00532D12"/>
    <w:rsid w:val="00532D16"/>
    <w:rsid w:val="00532E5B"/>
    <w:rsid w:val="0053305B"/>
    <w:rsid w:val="005334AA"/>
    <w:rsid w:val="00533A5E"/>
    <w:rsid w:val="00533BB7"/>
    <w:rsid w:val="00533EE1"/>
    <w:rsid w:val="0053460F"/>
    <w:rsid w:val="00534BB7"/>
    <w:rsid w:val="00536237"/>
    <w:rsid w:val="00536A9A"/>
    <w:rsid w:val="00536BB8"/>
    <w:rsid w:val="00536F82"/>
    <w:rsid w:val="0053707A"/>
    <w:rsid w:val="00537922"/>
    <w:rsid w:val="00537F41"/>
    <w:rsid w:val="005404FC"/>
    <w:rsid w:val="00540AF7"/>
    <w:rsid w:val="00540EB2"/>
    <w:rsid w:val="00541188"/>
    <w:rsid w:val="005411FA"/>
    <w:rsid w:val="00541D79"/>
    <w:rsid w:val="00542247"/>
    <w:rsid w:val="0054235F"/>
    <w:rsid w:val="005425F0"/>
    <w:rsid w:val="00542CEB"/>
    <w:rsid w:val="0054310D"/>
    <w:rsid w:val="005435DA"/>
    <w:rsid w:val="005436B1"/>
    <w:rsid w:val="0054370C"/>
    <w:rsid w:val="00543C0C"/>
    <w:rsid w:val="00543F56"/>
    <w:rsid w:val="0054419F"/>
    <w:rsid w:val="005444E3"/>
    <w:rsid w:val="005446C7"/>
    <w:rsid w:val="005447E6"/>
    <w:rsid w:val="0054498E"/>
    <w:rsid w:val="00544A2D"/>
    <w:rsid w:val="00545793"/>
    <w:rsid w:val="005457C9"/>
    <w:rsid w:val="00545D24"/>
    <w:rsid w:val="00545E3E"/>
    <w:rsid w:val="0054652B"/>
    <w:rsid w:val="005465B1"/>
    <w:rsid w:val="0054683C"/>
    <w:rsid w:val="00546885"/>
    <w:rsid w:val="00546B74"/>
    <w:rsid w:val="00547AFC"/>
    <w:rsid w:val="00547F95"/>
    <w:rsid w:val="0055005E"/>
    <w:rsid w:val="00550444"/>
    <w:rsid w:val="0055075C"/>
    <w:rsid w:val="00550B82"/>
    <w:rsid w:val="00550D8A"/>
    <w:rsid w:val="005517AE"/>
    <w:rsid w:val="00551832"/>
    <w:rsid w:val="00551EC6"/>
    <w:rsid w:val="0055253C"/>
    <w:rsid w:val="00552B89"/>
    <w:rsid w:val="00552D6B"/>
    <w:rsid w:val="00553037"/>
    <w:rsid w:val="0055319E"/>
    <w:rsid w:val="005531AC"/>
    <w:rsid w:val="0055326E"/>
    <w:rsid w:val="00553801"/>
    <w:rsid w:val="00553977"/>
    <w:rsid w:val="00554A97"/>
    <w:rsid w:val="005550B5"/>
    <w:rsid w:val="0055524F"/>
    <w:rsid w:val="005553C9"/>
    <w:rsid w:val="0055562B"/>
    <w:rsid w:val="005562B3"/>
    <w:rsid w:val="00556382"/>
    <w:rsid w:val="00556BA4"/>
    <w:rsid w:val="0055704B"/>
    <w:rsid w:val="005575C1"/>
    <w:rsid w:val="00557A4C"/>
    <w:rsid w:val="00560022"/>
    <w:rsid w:val="0056017F"/>
    <w:rsid w:val="005604F8"/>
    <w:rsid w:val="00560DD9"/>
    <w:rsid w:val="00561170"/>
    <w:rsid w:val="00561CB0"/>
    <w:rsid w:val="00562136"/>
    <w:rsid w:val="005621CE"/>
    <w:rsid w:val="0056298A"/>
    <w:rsid w:val="005629C2"/>
    <w:rsid w:val="00563194"/>
    <w:rsid w:val="00563772"/>
    <w:rsid w:val="00563820"/>
    <w:rsid w:val="00563C26"/>
    <w:rsid w:val="00563CFE"/>
    <w:rsid w:val="0056420A"/>
    <w:rsid w:val="00564407"/>
    <w:rsid w:val="0056466A"/>
    <w:rsid w:val="00565151"/>
    <w:rsid w:val="00565AC5"/>
    <w:rsid w:val="00565B01"/>
    <w:rsid w:val="00565E03"/>
    <w:rsid w:val="0056744A"/>
    <w:rsid w:val="00567A56"/>
    <w:rsid w:val="00567B64"/>
    <w:rsid w:val="005706FD"/>
    <w:rsid w:val="005707D1"/>
    <w:rsid w:val="00570EB0"/>
    <w:rsid w:val="0057121B"/>
    <w:rsid w:val="005712FC"/>
    <w:rsid w:val="0057142C"/>
    <w:rsid w:val="005718C6"/>
    <w:rsid w:val="00572592"/>
    <w:rsid w:val="005729DD"/>
    <w:rsid w:val="005732AE"/>
    <w:rsid w:val="00573D46"/>
    <w:rsid w:val="00574636"/>
    <w:rsid w:val="00574A77"/>
    <w:rsid w:val="00575638"/>
    <w:rsid w:val="00575B9C"/>
    <w:rsid w:val="00575CAA"/>
    <w:rsid w:val="00575DEB"/>
    <w:rsid w:val="00576B9F"/>
    <w:rsid w:val="00577787"/>
    <w:rsid w:val="00580FD0"/>
    <w:rsid w:val="00581061"/>
    <w:rsid w:val="00581C79"/>
    <w:rsid w:val="00581E2B"/>
    <w:rsid w:val="005823A4"/>
    <w:rsid w:val="00582B75"/>
    <w:rsid w:val="00582EC2"/>
    <w:rsid w:val="00583261"/>
    <w:rsid w:val="00583336"/>
    <w:rsid w:val="0058368F"/>
    <w:rsid w:val="00583D63"/>
    <w:rsid w:val="00584105"/>
    <w:rsid w:val="00584584"/>
    <w:rsid w:val="0058563D"/>
    <w:rsid w:val="005863CC"/>
    <w:rsid w:val="00586AB6"/>
    <w:rsid w:val="00587601"/>
    <w:rsid w:val="00587CA0"/>
    <w:rsid w:val="00587ECD"/>
    <w:rsid w:val="00587F2C"/>
    <w:rsid w:val="00590C38"/>
    <w:rsid w:val="00590F8F"/>
    <w:rsid w:val="00591092"/>
    <w:rsid w:val="00591D2D"/>
    <w:rsid w:val="00591EB7"/>
    <w:rsid w:val="00592202"/>
    <w:rsid w:val="00592392"/>
    <w:rsid w:val="00592444"/>
    <w:rsid w:val="00592A9C"/>
    <w:rsid w:val="00592B73"/>
    <w:rsid w:val="00592F0A"/>
    <w:rsid w:val="005930CD"/>
    <w:rsid w:val="00593831"/>
    <w:rsid w:val="005947AF"/>
    <w:rsid w:val="005948F2"/>
    <w:rsid w:val="00594A38"/>
    <w:rsid w:val="00594C17"/>
    <w:rsid w:val="00594CCB"/>
    <w:rsid w:val="005956BC"/>
    <w:rsid w:val="00595818"/>
    <w:rsid w:val="00595940"/>
    <w:rsid w:val="00595CCD"/>
    <w:rsid w:val="0059606C"/>
    <w:rsid w:val="005963E2"/>
    <w:rsid w:val="0059658D"/>
    <w:rsid w:val="005968E6"/>
    <w:rsid w:val="00596ED7"/>
    <w:rsid w:val="00597936"/>
    <w:rsid w:val="005979DC"/>
    <w:rsid w:val="00597AEA"/>
    <w:rsid w:val="00597F84"/>
    <w:rsid w:val="005A13CD"/>
    <w:rsid w:val="005A14D7"/>
    <w:rsid w:val="005A1750"/>
    <w:rsid w:val="005A1921"/>
    <w:rsid w:val="005A1C93"/>
    <w:rsid w:val="005A28ED"/>
    <w:rsid w:val="005A2A2B"/>
    <w:rsid w:val="005A2E71"/>
    <w:rsid w:val="005A3026"/>
    <w:rsid w:val="005A3211"/>
    <w:rsid w:val="005A32AE"/>
    <w:rsid w:val="005A3559"/>
    <w:rsid w:val="005A39F5"/>
    <w:rsid w:val="005A3B1E"/>
    <w:rsid w:val="005A416B"/>
    <w:rsid w:val="005A4AC5"/>
    <w:rsid w:val="005A4BDC"/>
    <w:rsid w:val="005A4EA8"/>
    <w:rsid w:val="005A522D"/>
    <w:rsid w:val="005A55B9"/>
    <w:rsid w:val="005A578E"/>
    <w:rsid w:val="005A5C29"/>
    <w:rsid w:val="005A5EA4"/>
    <w:rsid w:val="005A62DC"/>
    <w:rsid w:val="005A63C4"/>
    <w:rsid w:val="005A68E2"/>
    <w:rsid w:val="005A699F"/>
    <w:rsid w:val="005A6E32"/>
    <w:rsid w:val="005A6E76"/>
    <w:rsid w:val="005A7297"/>
    <w:rsid w:val="005B0175"/>
    <w:rsid w:val="005B06FE"/>
    <w:rsid w:val="005B0DC1"/>
    <w:rsid w:val="005B1381"/>
    <w:rsid w:val="005B14C4"/>
    <w:rsid w:val="005B184C"/>
    <w:rsid w:val="005B2125"/>
    <w:rsid w:val="005B267D"/>
    <w:rsid w:val="005B2888"/>
    <w:rsid w:val="005B2B14"/>
    <w:rsid w:val="005B2FBD"/>
    <w:rsid w:val="005B333C"/>
    <w:rsid w:val="005B376B"/>
    <w:rsid w:val="005B37D4"/>
    <w:rsid w:val="005B3E9C"/>
    <w:rsid w:val="005B43F1"/>
    <w:rsid w:val="005B4ABC"/>
    <w:rsid w:val="005B4D38"/>
    <w:rsid w:val="005B4E82"/>
    <w:rsid w:val="005B4EA6"/>
    <w:rsid w:val="005B5631"/>
    <w:rsid w:val="005B59B9"/>
    <w:rsid w:val="005B5E45"/>
    <w:rsid w:val="005B6290"/>
    <w:rsid w:val="005B63ED"/>
    <w:rsid w:val="005B7065"/>
    <w:rsid w:val="005B7493"/>
    <w:rsid w:val="005B7A64"/>
    <w:rsid w:val="005C00AE"/>
    <w:rsid w:val="005C0214"/>
    <w:rsid w:val="005C12DD"/>
    <w:rsid w:val="005C1480"/>
    <w:rsid w:val="005C1964"/>
    <w:rsid w:val="005C1A16"/>
    <w:rsid w:val="005C1A2B"/>
    <w:rsid w:val="005C1CC9"/>
    <w:rsid w:val="005C2B54"/>
    <w:rsid w:val="005C2C64"/>
    <w:rsid w:val="005C2FA8"/>
    <w:rsid w:val="005C3767"/>
    <w:rsid w:val="005C3F3A"/>
    <w:rsid w:val="005C4A1E"/>
    <w:rsid w:val="005C5156"/>
    <w:rsid w:val="005C5AEA"/>
    <w:rsid w:val="005C5D06"/>
    <w:rsid w:val="005C5EB6"/>
    <w:rsid w:val="005C61E9"/>
    <w:rsid w:val="005C6417"/>
    <w:rsid w:val="005C657B"/>
    <w:rsid w:val="005C6A03"/>
    <w:rsid w:val="005C7382"/>
    <w:rsid w:val="005C73AB"/>
    <w:rsid w:val="005C752C"/>
    <w:rsid w:val="005C7723"/>
    <w:rsid w:val="005C7EF6"/>
    <w:rsid w:val="005D0498"/>
    <w:rsid w:val="005D0E04"/>
    <w:rsid w:val="005D10F3"/>
    <w:rsid w:val="005D1390"/>
    <w:rsid w:val="005D1891"/>
    <w:rsid w:val="005D2723"/>
    <w:rsid w:val="005D27FB"/>
    <w:rsid w:val="005D295F"/>
    <w:rsid w:val="005D2CBE"/>
    <w:rsid w:val="005D344D"/>
    <w:rsid w:val="005D3943"/>
    <w:rsid w:val="005D394B"/>
    <w:rsid w:val="005D3A5C"/>
    <w:rsid w:val="005D3C9D"/>
    <w:rsid w:val="005D3FC6"/>
    <w:rsid w:val="005D43B8"/>
    <w:rsid w:val="005D445C"/>
    <w:rsid w:val="005D4C00"/>
    <w:rsid w:val="005D4E7F"/>
    <w:rsid w:val="005D56C7"/>
    <w:rsid w:val="005D5BDC"/>
    <w:rsid w:val="005D5CB4"/>
    <w:rsid w:val="005D5F34"/>
    <w:rsid w:val="005D612C"/>
    <w:rsid w:val="005D67BF"/>
    <w:rsid w:val="005D6801"/>
    <w:rsid w:val="005D7876"/>
    <w:rsid w:val="005D7BE0"/>
    <w:rsid w:val="005D7C45"/>
    <w:rsid w:val="005E033D"/>
    <w:rsid w:val="005E08C6"/>
    <w:rsid w:val="005E0B74"/>
    <w:rsid w:val="005E0BF4"/>
    <w:rsid w:val="005E11B5"/>
    <w:rsid w:val="005E12C5"/>
    <w:rsid w:val="005E19BD"/>
    <w:rsid w:val="005E1A5C"/>
    <w:rsid w:val="005E220B"/>
    <w:rsid w:val="005E23E4"/>
    <w:rsid w:val="005E2BBD"/>
    <w:rsid w:val="005E2F77"/>
    <w:rsid w:val="005E348F"/>
    <w:rsid w:val="005E3798"/>
    <w:rsid w:val="005E386F"/>
    <w:rsid w:val="005E3F81"/>
    <w:rsid w:val="005E437C"/>
    <w:rsid w:val="005E472E"/>
    <w:rsid w:val="005E4817"/>
    <w:rsid w:val="005E4C68"/>
    <w:rsid w:val="005E5390"/>
    <w:rsid w:val="005E56F6"/>
    <w:rsid w:val="005E5A9C"/>
    <w:rsid w:val="005E5CF6"/>
    <w:rsid w:val="005E5D54"/>
    <w:rsid w:val="005E64C9"/>
    <w:rsid w:val="005E6550"/>
    <w:rsid w:val="005E688C"/>
    <w:rsid w:val="005E6DDE"/>
    <w:rsid w:val="005E6FD5"/>
    <w:rsid w:val="005E74B3"/>
    <w:rsid w:val="005F003B"/>
    <w:rsid w:val="005F0A27"/>
    <w:rsid w:val="005F0B35"/>
    <w:rsid w:val="005F0D62"/>
    <w:rsid w:val="005F19B3"/>
    <w:rsid w:val="005F1EEE"/>
    <w:rsid w:val="005F222A"/>
    <w:rsid w:val="005F2416"/>
    <w:rsid w:val="005F2854"/>
    <w:rsid w:val="005F2E3E"/>
    <w:rsid w:val="005F2E4C"/>
    <w:rsid w:val="005F30EC"/>
    <w:rsid w:val="005F370F"/>
    <w:rsid w:val="005F4F8B"/>
    <w:rsid w:val="005F5644"/>
    <w:rsid w:val="005F568D"/>
    <w:rsid w:val="005F58E9"/>
    <w:rsid w:val="005F5A96"/>
    <w:rsid w:val="005F5CD1"/>
    <w:rsid w:val="005F6268"/>
    <w:rsid w:val="005F6312"/>
    <w:rsid w:val="005F6454"/>
    <w:rsid w:val="005F6B6F"/>
    <w:rsid w:val="005F6BD3"/>
    <w:rsid w:val="005F6BE1"/>
    <w:rsid w:val="005F6CE0"/>
    <w:rsid w:val="005F6D1D"/>
    <w:rsid w:val="005F705F"/>
    <w:rsid w:val="005F782D"/>
    <w:rsid w:val="005F7FC9"/>
    <w:rsid w:val="0060041A"/>
    <w:rsid w:val="0060116F"/>
    <w:rsid w:val="00601801"/>
    <w:rsid w:val="00601F15"/>
    <w:rsid w:val="006020C0"/>
    <w:rsid w:val="006023B3"/>
    <w:rsid w:val="0060293F"/>
    <w:rsid w:val="00602ADA"/>
    <w:rsid w:val="00603C0A"/>
    <w:rsid w:val="00604290"/>
    <w:rsid w:val="0060429D"/>
    <w:rsid w:val="006045EB"/>
    <w:rsid w:val="00604608"/>
    <w:rsid w:val="0060502D"/>
    <w:rsid w:val="00605092"/>
    <w:rsid w:val="006050EE"/>
    <w:rsid w:val="00605359"/>
    <w:rsid w:val="00605A5F"/>
    <w:rsid w:val="00605E04"/>
    <w:rsid w:val="00605FC9"/>
    <w:rsid w:val="00606098"/>
    <w:rsid w:val="00606754"/>
    <w:rsid w:val="00606A7C"/>
    <w:rsid w:val="00606F89"/>
    <w:rsid w:val="00607B99"/>
    <w:rsid w:val="006105FD"/>
    <w:rsid w:val="00610784"/>
    <w:rsid w:val="00610A58"/>
    <w:rsid w:val="00610C46"/>
    <w:rsid w:val="00610D06"/>
    <w:rsid w:val="0061120F"/>
    <w:rsid w:val="00611BDE"/>
    <w:rsid w:val="00611D8C"/>
    <w:rsid w:val="0061248E"/>
    <w:rsid w:val="006126A6"/>
    <w:rsid w:val="00612A31"/>
    <w:rsid w:val="00612D02"/>
    <w:rsid w:val="00612E73"/>
    <w:rsid w:val="00612FEE"/>
    <w:rsid w:val="0061300C"/>
    <w:rsid w:val="0061311F"/>
    <w:rsid w:val="0061342B"/>
    <w:rsid w:val="006134A5"/>
    <w:rsid w:val="00613556"/>
    <w:rsid w:val="006135D0"/>
    <w:rsid w:val="006139D9"/>
    <w:rsid w:val="006139F8"/>
    <w:rsid w:val="00613B00"/>
    <w:rsid w:val="00613B56"/>
    <w:rsid w:val="00613B5C"/>
    <w:rsid w:val="00613FF5"/>
    <w:rsid w:val="00614592"/>
    <w:rsid w:val="00614AD6"/>
    <w:rsid w:val="00614B78"/>
    <w:rsid w:val="00615072"/>
    <w:rsid w:val="006150A3"/>
    <w:rsid w:val="00615221"/>
    <w:rsid w:val="0061550F"/>
    <w:rsid w:val="0061553D"/>
    <w:rsid w:val="00615929"/>
    <w:rsid w:val="0061605D"/>
    <w:rsid w:val="0061644D"/>
    <w:rsid w:val="00616B5B"/>
    <w:rsid w:val="00616F56"/>
    <w:rsid w:val="006175F1"/>
    <w:rsid w:val="0061778D"/>
    <w:rsid w:val="00617795"/>
    <w:rsid w:val="0061785E"/>
    <w:rsid w:val="00617A65"/>
    <w:rsid w:val="00620003"/>
    <w:rsid w:val="0062017D"/>
    <w:rsid w:val="00620280"/>
    <w:rsid w:val="006203AE"/>
    <w:rsid w:val="00620550"/>
    <w:rsid w:val="00620B19"/>
    <w:rsid w:val="00620B6A"/>
    <w:rsid w:val="006211D8"/>
    <w:rsid w:val="00621B51"/>
    <w:rsid w:val="0062271A"/>
    <w:rsid w:val="006236ED"/>
    <w:rsid w:val="006238A8"/>
    <w:rsid w:val="00623FD2"/>
    <w:rsid w:val="0062406D"/>
    <w:rsid w:val="00624229"/>
    <w:rsid w:val="00624A2B"/>
    <w:rsid w:val="00624BC2"/>
    <w:rsid w:val="00624C69"/>
    <w:rsid w:val="006252F2"/>
    <w:rsid w:val="0062533E"/>
    <w:rsid w:val="006257B0"/>
    <w:rsid w:val="00625A9A"/>
    <w:rsid w:val="00625D79"/>
    <w:rsid w:val="00626EE1"/>
    <w:rsid w:val="00627648"/>
    <w:rsid w:val="00627A4B"/>
    <w:rsid w:val="00627CD4"/>
    <w:rsid w:val="006303F5"/>
    <w:rsid w:val="00630B0F"/>
    <w:rsid w:val="006313C6"/>
    <w:rsid w:val="006318A2"/>
    <w:rsid w:val="00631D41"/>
    <w:rsid w:val="00631E1C"/>
    <w:rsid w:val="006327A4"/>
    <w:rsid w:val="006337BD"/>
    <w:rsid w:val="006340DE"/>
    <w:rsid w:val="006348DD"/>
    <w:rsid w:val="00634C11"/>
    <w:rsid w:val="00634DDD"/>
    <w:rsid w:val="0063504B"/>
    <w:rsid w:val="00635814"/>
    <w:rsid w:val="00635D69"/>
    <w:rsid w:val="006360CE"/>
    <w:rsid w:val="006361E1"/>
    <w:rsid w:val="0063630E"/>
    <w:rsid w:val="0063664F"/>
    <w:rsid w:val="00636F4E"/>
    <w:rsid w:val="006372C0"/>
    <w:rsid w:val="0063771C"/>
    <w:rsid w:val="00637EF4"/>
    <w:rsid w:val="00640648"/>
    <w:rsid w:val="00640875"/>
    <w:rsid w:val="00640B1A"/>
    <w:rsid w:val="00640B7F"/>
    <w:rsid w:val="00640BD6"/>
    <w:rsid w:val="00640CCC"/>
    <w:rsid w:val="00641F11"/>
    <w:rsid w:val="00641F2B"/>
    <w:rsid w:val="00641F57"/>
    <w:rsid w:val="00642241"/>
    <w:rsid w:val="006426C9"/>
    <w:rsid w:val="0064271E"/>
    <w:rsid w:val="00642890"/>
    <w:rsid w:val="00642FD2"/>
    <w:rsid w:val="0064305C"/>
    <w:rsid w:val="0064321C"/>
    <w:rsid w:val="0064333F"/>
    <w:rsid w:val="006434BD"/>
    <w:rsid w:val="00643536"/>
    <w:rsid w:val="006435AD"/>
    <w:rsid w:val="006438B4"/>
    <w:rsid w:val="00643BDD"/>
    <w:rsid w:val="0064456B"/>
    <w:rsid w:val="00644639"/>
    <w:rsid w:val="00644B02"/>
    <w:rsid w:val="0064554D"/>
    <w:rsid w:val="006459BC"/>
    <w:rsid w:val="00646A8D"/>
    <w:rsid w:val="00647432"/>
    <w:rsid w:val="00647C3A"/>
    <w:rsid w:val="00647C46"/>
    <w:rsid w:val="00647DC8"/>
    <w:rsid w:val="006504F3"/>
    <w:rsid w:val="0065087C"/>
    <w:rsid w:val="00650D57"/>
    <w:rsid w:val="006510C9"/>
    <w:rsid w:val="00651A4E"/>
    <w:rsid w:val="00651A50"/>
    <w:rsid w:val="006525DB"/>
    <w:rsid w:val="006527EC"/>
    <w:rsid w:val="00652F7A"/>
    <w:rsid w:val="0065340C"/>
    <w:rsid w:val="006535BF"/>
    <w:rsid w:val="00653AF4"/>
    <w:rsid w:val="00654382"/>
    <w:rsid w:val="00654F45"/>
    <w:rsid w:val="0065539D"/>
    <w:rsid w:val="006558C0"/>
    <w:rsid w:val="006560E0"/>
    <w:rsid w:val="006561F1"/>
    <w:rsid w:val="0065715E"/>
    <w:rsid w:val="006571C9"/>
    <w:rsid w:val="0065736E"/>
    <w:rsid w:val="00657D30"/>
    <w:rsid w:val="0066045D"/>
    <w:rsid w:val="006604BC"/>
    <w:rsid w:val="0066070D"/>
    <w:rsid w:val="0066074E"/>
    <w:rsid w:val="006609D5"/>
    <w:rsid w:val="00660EA5"/>
    <w:rsid w:val="006613F9"/>
    <w:rsid w:val="00661677"/>
    <w:rsid w:val="00661FBD"/>
    <w:rsid w:val="00662469"/>
    <w:rsid w:val="0066249C"/>
    <w:rsid w:val="0066268D"/>
    <w:rsid w:val="0066294F"/>
    <w:rsid w:val="0066381E"/>
    <w:rsid w:val="00663981"/>
    <w:rsid w:val="00663A9D"/>
    <w:rsid w:val="0066415E"/>
    <w:rsid w:val="00664397"/>
    <w:rsid w:val="006643A2"/>
    <w:rsid w:val="00664CB5"/>
    <w:rsid w:val="00664D49"/>
    <w:rsid w:val="00664EB1"/>
    <w:rsid w:val="00665181"/>
    <w:rsid w:val="00665392"/>
    <w:rsid w:val="00665530"/>
    <w:rsid w:val="00665E25"/>
    <w:rsid w:val="006667D7"/>
    <w:rsid w:val="0066680E"/>
    <w:rsid w:val="006670C5"/>
    <w:rsid w:val="00667220"/>
    <w:rsid w:val="00667B89"/>
    <w:rsid w:val="006701EA"/>
    <w:rsid w:val="0067023B"/>
    <w:rsid w:val="00670560"/>
    <w:rsid w:val="00670BDA"/>
    <w:rsid w:val="00671135"/>
    <w:rsid w:val="006712E7"/>
    <w:rsid w:val="006715DE"/>
    <w:rsid w:val="0067183A"/>
    <w:rsid w:val="00672150"/>
    <w:rsid w:val="006730F2"/>
    <w:rsid w:val="006730FF"/>
    <w:rsid w:val="006733DD"/>
    <w:rsid w:val="00673EB8"/>
    <w:rsid w:val="00674175"/>
    <w:rsid w:val="00674206"/>
    <w:rsid w:val="00674374"/>
    <w:rsid w:val="006743B9"/>
    <w:rsid w:val="00674607"/>
    <w:rsid w:val="0067471D"/>
    <w:rsid w:val="0067496C"/>
    <w:rsid w:val="00674F0E"/>
    <w:rsid w:val="00675061"/>
    <w:rsid w:val="00675225"/>
    <w:rsid w:val="00675A67"/>
    <w:rsid w:val="00676137"/>
    <w:rsid w:val="0067622C"/>
    <w:rsid w:val="00676538"/>
    <w:rsid w:val="006766BB"/>
    <w:rsid w:val="00677299"/>
    <w:rsid w:val="0067732A"/>
    <w:rsid w:val="00677586"/>
    <w:rsid w:val="006775EC"/>
    <w:rsid w:val="00677C8F"/>
    <w:rsid w:val="00680042"/>
    <w:rsid w:val="0068069D"/>
    <w:rsid w:val="006809C8"/>
    <w:rsid w:val="00680F97"/>
    <w:rsid w:val="006817EF"/>
    <w:rsid w:val="00681997"/>
    <w:rsid w:val="00681F08"/>
    <w:rsid w:val="00682265"/>
    <w:rsid w:val="0068259C"/>
    <w:rsid w:val="006826F0"/>
    <w:rsid w:val="00683247"/>
    <w:rsid w:val="00683B9A"/>
    <w:rsid w:val="00683BDB"/>
    <w:rsid w:val="00683C1E"/>
    <w:rsid w:val="006840FC"/>
    <w:rsid w:val="00684A75"/>
    <w:rsid w:val="00684DBC"/>
    <w:rsid w:val="00684ECD"/>
    <w:rsid w:val="006851E4"/>
    <w:rsid w:val="006859FD"/>
    <w:rsid w:val="00685B89"/>
    <w:rsid w:val="0068685F"/>
    <w:rsid w:val="00686BB1"/>
    <w:rsid w:val="00686C1A"/>
    <w:rsid w:val="0068717A"/>
    <w:rsid w:val="006872E7"/>
    <w:rsid w:val="006876F0"/>
    <w:rsid w:val="0068779F"/>
    <w:rsid w:val="0068784F"/>
    <w:rsid w:val="00687947"/>
    <w:rsid w:val="00690165"/>
    <w:rsid w:val="00691222"/>
    <w:rsid w:val="0069128D"/>
    <w:rsid w:val="006914F6"/>
    <w:rsid w:val="006916A9"/>
    <w:rsid w:val="00691AD1"/>
    <w:rsid w:val="00691BFE"/>
    <w:rsid w:val="00692446"/>
    <w:rsid w:val="0069263A"/>
    <w:rsid w:val="00692FD2"/>
    <w:rsid w:val="0069336F"/>
    <w:rsid w:val="006933AE"/>
    <w:rsid w:val="00693456"/>
    <w:rsid w:val="00693E07"/>
    <w:rsid w:val="006940C2"/>
    <w:rsid w:val="0069448B"/>
    <w:rsid w:val="00694644"/>
    <w:rsid w:val="00695D90"/>
    <w:rsid w:val="00696569"/>
    <w:rsid w:val="00696765"/>
    <w:rsid w:val="006967AD"/>
    <w:rsid w:val="006969DC"/>
    <w:rsid w:val="00696B6B"/>
    <w:rsid w:val="0069720E"/>
    <w:rsid w:val="00697915"/>
    <w:rsid w:val="00697933"/>
    <w:rsid w:val="00697BC4"/>
    <w:rsid w:val="006A0AF3"/>
    <w:rsid w:val="006A0B9D"/>
    <w:rsid w:val="006A0F42"/>
    <w:rsid w:val="006A1319"/>
    <w:rsid w:val="006A1AEA"/>
    <w:rsid w:val="006A1E0B"/>
    <w:rsid w:val="006A1E56"/>
    <w:rsid w:val="006A2147"/>
    <w:rsid w:val="006A21AF"/>
    <w:rsid w:val="006A24AE"/>
    <w:rsid w:val="006A2E75"/>
    <w:rsid w:val="006A2F82"/>
    <w:rsid w:val="006A30D5"/>
    <w:rsid w:val="006A3445"/>
    <w:rsid w:val="006A4497"/>
    <w:rsid w:val="006A4754"/>
    <w:rsid w:val="006A4A99"/>
    <w:rsid w:val="006A4B44"/>
    <w:rsid w:val="006A51CD"/>
    <w:rsid w:val="006A54C9"/>
    <w:rsid w:val="006A5763"/>
    <w:rsid w:val="006A61CE"/>
    <w:rsid w:val="006A68C6"/>
    <w:rsid w:val="006A6AF7"/>
    <w:rsid w:val="006A72A2"/>
    <w:rsid w:val="006A7FBA"/>
    <w:rsid w:val="006B017A"/>
    <w:rsid w:val="006B05F0"/>
    <w:rsid w:val="006B0DE2"/>
    <w:rsid w:val="006B10FC"/>
    <w:rsid w:val="006B133E"/>
    <w:rsid w:val="006B1459"/>
    <w:rsid w:val="006B1552"/>
    <w:rsid w:val="006B19CF"/>
    <w:rsid w:val="006B1AD0"/>
    <w:rsid w:val="006B1C06"/>
    <w:rsid w:val="006B1E42"/>
    <w:rsid w:val="006B1F1F"/>
    <w:rsid w:val="006B28C7"/>
    <w:rsid w:val="006B2A43"/>
    <w:rsid w:val="006B2E37"/>
    <w:rsid w:val="006B3683"/>
    <w:rsid w:val="006B390A"/>
    <w:rsid w:val="006B3F75"/>
    <w:rsid w:val="006B4047"/>
    <w:rsid w:val="006B40C0"/>
    <w:rsid w:val="006B42EA"/>
    <w:rsid w:val="006B4383"/>
    <w:rsid w:val="006B48CE"/>
    <w:rsid w:val="006B48EA"/>
    <w:rsid w:val="006B4B80"/>
    <w:rsid w:val="006B5143"/>
    <w:rsid w:val="006B5C03"/>
    <w:rsid w:val="006B62A9"/>
    <w:rsid w:val="006B62E0"/>
    <w:rsid w:val="006B6374"/>
    <w:rsid w:val="006B6506"/>
    <w:rsid w:val="006B6611"/>
    <w:rsid w:val="006B662B"/>
    <w:rsid w:val="006B6B0C"/>
    <w:rsid w:val="006B6E97"/>
    <w:rsid w:val="006B7681"/>
    <w:rsid w:val="006B777E"/>
    <w:rsid w:val="006B77B7"/>
    <w:rsid w:val="006B7A3C"/>
    <w:rsid w:val="006B7AF5"/>
    <w:rsid w:val="006B7B9E"/>
    <w:rsid w:val="006B7D42"/>
    <w:rsid w:val="006B7E58"/>
    <w:rsid w:val="006B7FEB"/>
    <w:rsid w:val="006C0369"/>
    <w:rsid w:val="006C1775"/>
    <w:rsid w:val="006C1941"/>
    <w:rsid w:val="006C1A48"/>
    <w:rsid w:val="006C2F4B"/>
    <w:rsid w:val="006C341E"/>
    <w:rsid w:val="006C4011"/>
    <w:rsid w:val="006C4391"/>
    <w:rsid w:val="006C4C18"/>
    <w:rsid w:val="006C4D38"/>
    <w:rsid w:val="006C4F8B"/>
    <w:rsid w:val="006C4FB9"/>
    <w:rsid w:val="006C5019"/>
    <w:rsid w:val="006C50F9"/>
    <w:rsid w:val="006C51BF"/>
    <w:rsid w:val="006C5B0F"/>
    <w:rsid w:val="006C5FC3"/>
    <w:rsid w:val="006C6046"/>
    <w:rsid w:val="006C64D0"/>
    <w:rsid w:val="006C6899"/>
    <w:rsid w:val="006C7082"/>
    <w:rsid w:val="006C730D"/>
    <w:rsid w:val="006C7327"/>
    <w:rsid w:val="006C7AAF"/>
    <w:rsid w:val="006C7B93"/>
    <w:rsid w:val="006C7FBF"/>
    <w:rsid w:val="006D0AE2"/>
    <w:rsid w:val="006D0BEF"/>
    <w:rsid w:val="006D1598"/>
    <w:rsid w:val="006D1868"/>
    <w:rsid w:val="006D1887"/>
    <w:rsid w:val="006D23A9"/>
    <w:rsid w:val="006D30EF"/>
    <w:rsid w:val="006D31DA"/>
    <w:rsid w:val="006D3255"/>
    <w:rsid w:val="006D396D"/>
    <w:rsid w:val="006D3E35"/>
    <w:rsid w:val="006D4057"/>
    <w:rsid w:val="006D40B9"/>
    <w:rsid w:val="006D4121"/>
    <w:rsid w:val="006D4537"/>
    <w:rsid w:val="006D4A84"/>
    <w:rsid w:val="006D4F05"/>
    <w:rsid w:val="006D5168"/>
    <w:rsid w:val="006D526A"/>
    <w:rsid w:val="006D5634"/>
    <w:rsid w:val="006D5CFD"/>
    <w:rsid w:val="006D67A9"/>
    <w:rsid w:val="006D6BB8"/>
    <w:rsid w:val="006D6C59"/>
    <w:rsid w:val="006D6DD6"/>
    <w:rsid w:val="006D7192"/>
    <w:rsid w:val="006D766E"/>
    <w:rsid w:val="006D7A0E"/>
    <w:rsid w:val="006D7AF7"/>
    <w:rsid w:val="006E042D"/>
    <w:rsid w:val="006E062F"/>
    <w:rsid w:val="006E155F"/>
    <w:rsid w:val="006E18B9"/>
    <w:rsid w:val="006E1A13"/>
    <w:rsid w:val="006E225E"/>
    <w:rsid w:val="006E270D"/>
    <w:rsid w:val="006E2958"/>
    <w:rsid w:val="006E318D"/>
    <w:rsid w:val="006E3480"/>
    <w:rsid w:val="006E3751"/>
    <w:rsid w:val="006E3A57"/>
    <w:rsid w:val="006E3E57"/>
    <w:rsid w:val="006E43C6"/>
    <w:rsid w:val="006E43F1"/>
    <w:rsid w:val="006E44EE"/>
    <w:rsid w:val="006E4509"/>
    <w:rsid w:val="006E47C8"/>
    <w:rsid w:val="006E4905"/>
    <w:rsid w:val="006E4B82"/>
    <w:rsid w:val="006E58FE"/>
    <w:rsid w:val="006E5E2D"/>
    <w:rsid w:val="006E5E41"/>
    <w:rsid w:val="006E6525"/>
    <w:rsid w:val="006E65F1"/>
    <w:rsid w:val="006E6696"/>
    <w:rsid w:val="006E7046"/>
    <w:rsid w:val="006E74B7"/>
    <w:rsid w:val="006E7599"/>
    <w:rsid w:val="006E769F"/>
    <w:rsid w:val="006F01ED"/>
    <w:rsid w:val="006F18DD"/>
    <w:rsid w:val="006F1B54"/>
    <w:rsid w:val="006F1B99"/>
    <w:rsid w:val="006F1BD0"/>
    <w:rsid w:val="006F1E1F"/>
    <w:rsid w:val="006F205F"/>
    <w:rsid w:val="006F20AD"/>
    <w:rsid w:val="006F221D"/>
    <w:rsid w:val="006F257E"/>
    <w:rsid w:val="006F29DF"/>
    <w:rsid w:val="006F2F20"/>
    <w:rsid w:val="006F4197"/>
    <w:rsid w:val="006F4A33"/>
    <w:rsid w:val="006F4D91"/>
    <w:rsid w:val="006F5EAA"/>
    <w:rsid w:val="006F60C4"/>
    <w:rsid w:val="006F6647"/>
    <w:rsid w:val="006F679D"/>
    <w:rsid w:val="006F6D33"/>
    <w:rsid w:val="006F6DEF"/>
    <w:rsid w:val="006F6F50"/>
    <w:rsid w:val="006F7A22"/>
    <w:rsid w:val="007004E9"/>
    <w:rsid w:val="007006F2"/>
    <w:rsid w:val="007008F6"/>
    <w:rsid w:val="00700A06"/>
    <w:rsid w:val="00700C05"/>
    <w:rsid w:val="00700F7C"/>
    <w:rsid w:val="007011D0"/>
    <w:rsid w:val="007012D5"/>
    <w:rsid w:val="00701447"/>
    <w:rsid w:val="0070145D"/>
    <w:rsid w:val="007018B0"/>
    <w:rsid w:val="007024DF"/>
    <w:rsid w:val="00702A37"/>
    <w:rsid w:val="00702D49"/>
    <w:rsid w:val="00702E58"/>
    <w:rsid w:val="00702F81"/>
    <w:rsid w:val="00703C4C"/>
    <w:rsid w:val="00703C6B"/>
    <w:rsid w:val="00703DE7"/>
    <w:rsid w:val="00704012"/>
    <w:rsid w:val="007041F5"/>
    <w:rsid w:val="0070472B"/>
    <w:rsid w:val="00704800"/>
    <w:rsid w:val="0070495A"/>
    <w:rsid w:val="00705327"/>
    <w:rsid w:val="007057CB"/>
    <w:rsid w:val="00705986"/>
    <w:rsid w:val="00705D40"/>
    <w:rsid w:val="007061CC"/>
    <w:rsid w:val="007064F3"/>
    <w:rsid w:val="00706555"/>
    <w:rsid w:val="0070663B"/>
    <w:rsid w:val="00707014"/>
    <w:rsid w:val="007070E3"/>
    <w:rsid w:val="007071A9"/>
    <w:rsid w:val="00707588"/>
    <w:rsid w:val="007078F9"/>
    <w:rsid w:val="00707ABE"/>
    <w:rsid w:val="00707E5C"/>
    <w:rsid w:val="00707E7D"/>
    <w:rsid w:val="00710095"/>
    <w:rsid w:val="0071065F"/>
    <w:rsid w:val="00710A3E"/>
    <w:rsid w:val="00710F14"/>
    <w:rsid w:val="007111E1"/>
    <w:rsid w:val="00711624"/>
    <w:rsid w:val="00711906"/>
    <w:rsid w:val="00712377"/>
    <w:rsid w:val="00712A8A"/>
    <w:rsid w:val="00712BCC"/>
    <w:rsid w:val="00713082"/>
    <w:rsid w:val="0071376F"/>
    <w:rsid w:val="0071378A"/>
    <w:rsid w:val="00713A07"/>
    <w:rsid w:val="00713DAF"/>
    <w:rsid w:val="00713FE3"/>
    <w:rsid w:val="00714057"/>
    <w:rsid w:val="007143AC"/>
    <w:rsid w:val="00714B1E"/>
    <w:rsid w:val="00714E35"/>
    <w:rsid w:val="00714EB7"/>
    <w:rsid w:val="00715182"/>
    <w:rsid w:val="00715228"/>
    <w:rsid w:val="00716428"/>
    <w:rsid w:val="0071673D"/>
    <w:rsid w:val="0071693C"/>
    <w:rsid w:val="00716A40"/>
    <w:rsid w:val="0071750F"/>
    <w:rsid w:val="0071755F"/>
    <w:rsid w:val="00717620"/>
    <w:rsid w:val="0071786C"/>
    <w:rsid w:val="00717E8E"/>
    <w:rsid w:val="00717FB9"/>
    <w:rsid w:val="007206CC"/>
    <w:rsid w:val="007206DF"/>
    <w:rsid w:val="00720791"/>
    <w:rsid w:val="00720B4C"/>
    <w:rsid w:val="00721020"/>
    <w:rsid w:val="007216FB"/>
    <w:rsid w:val="00721ADA"/>
    <w:rsid w:val="00721BD1"/>
    <w:rsid w:val="007223C4"/>
    <w:rsid w:val="00722567"/>
    <w:rsid w:val="00722705"/>
    <w:rsid w:val="00722AAD"/>
    <w:rsid w:val="00723EBD"/>
    <w:rsid w:val="00724074"/>
    <w:rsid w:val="00724249"/>
    <w:rsid w:val="00724584"/>
    <w:rsid w:val="00724F60"/>
    <w:rsid w:val="00725372"/>
    <w:rsid w:val="007253CA"/>
    <w:rsid w:val="00725CCB"/>
    <w:rsid w:val="00726084"/>
    <w:rsid w:val="007261BA"/>
    <w:rsid w:val="007262EA"/>
    <w:rsid w:val="0072671F"/>
    <w:rsid w:val="007267F1"/>
    <w:rsid w:val="007268BB"/>
    <w:rsid w:val="00726985"/>
    <w:rsid w:val="00726F0B"/>
    <w:rsid w:val="007272BB"/>
    <w:rsid w:val="00727378"/>
    <w:rsid w:val="00727C26"/>
    <w:rsid w:val="00730085"/>
    <w:rsid w:val="0073051A"/>
    <w:rsid w:val="007306ED"/>
    <w:rsid w:val="00730D74"/>
    <w:rsid w:val="00730E81"/>
    <w:rsid w:val="007312C9"/>
    <w:rsid w:val="00731524"/>
    <w:rsid w:val="007316C6"/>
    <w:rsid w:val="00731F5C"/>
    <w:rsid w:val="00731FB2"/>
    <w:rsid w:val="00732014"/>
    <w:rsid w:val="00732063"/>
    <w:rsid w:val="00732128"/>
    <w:rsid w:val="00732590"/>
    <w:rsid w:val="007327C2"/>
    <w:rsid w:val="00732BE3"/>
    <w:rsid w:val="00732D2A"/>
    <w:rsid w:val="00732D44"/>
    <w:rsid w:val="00734713"/>
    <w:rsid w:val="00734B42"/>
    <w:rsid w:val="00734F4C"/>
    <w:rsid w:val="0073542E"/>
    <w:rsid w:val="0073556A"/>
    <w:rsid w:val="007358EA"/>
    <w:rsid w:val="00735A55"/>
    <w:rsid w:val="00735DE5"/>
    <w:rsid w:val="00736ACC"/>
    <w:rsid w:val="00736F37"/>
    <w:rsid w:val="00737456"/>
    <w:rsid w:val="00737F7A"/>
    <w:rsid w:val="00740541"/>
    <w:rsid w:val="00740990"/>
    <w:rsid w:val="00740F0B"/>
    <w:rsid w:val="00740F25"/>
    <w:rsid w:val="00740F5C"/>
    <w:rsid w:val="00741177"/>
    <w:rsid w:val="007417D2"/>
    <w:rsid w:val="00741E15"/>
    <w:rsid w:val="00741E35"/>
    <w:rsid w:val="0074208E"/>
    <w:rsid w:val="00742267"/>
    <w:rsid w:val="00742375"/>
    <w:rsid w:val="00742848"/>
    <w:rsid w:val="00742C75"/>
    <w:rsid w:val="00742CB0"/>
    <w:rsid w:val="007430CB"/>
    <w:rsid w:val="007430FB"/>
    <w:rsid w:val="00743574"/>
    <w:rsid w:val="00743FE1"/>
    <w:rsid w:val="007442E7"/>
    <w:rsid w:val="00744661"/>
    <w:rsid w:val="00744BA1"/>
    <w:rsid w:val="0074509E"/>
    <w:rsid w:val="00745E53"/>
    <w:rsid w:val="00745FC6"/>
    <w:rsid w:val="0074631D"/>
    <w:rsid w:val="00746572"/>
    <w:rsid w:val="00747517"/>
    <w:rsid w:val="00747AB2"/>
    <w:rsid w:val="00750075"/>
    <w:rsid w:val="00750112"/>
    <w:rsid w:val="00750786"/>
    <w:rsid w:val="00750F51"/>
    <w:rsid w:val="00750FFA"/>
    <w:rsid w:val="00751674"/>
    <w:rsid w:val="00751AB9"/>
    <w:rsid w:val="007523BC"/>
    <w:rsid w:val="00752560"/>
    <w:rsid w:val="0075264C"/>
    <w:rsid w:val="007533BD"/>
    <w:rsid w:val="0075372D"/>
    <w:rsid w:val="00753789"/>
    <w:rsid w:val="007538DD"/>
    <w:rsid w:val="00753DEB"/>
    <w:rsid w:val="00754056"/>
    <w:rsid w:val="0075455F"/>
    <w:rsid w:val="007559E8"/>
    <w:rsid w:val="00756289"/>
    <w:rsid w:val="007562EA"/>
    <w:rsid w:val="0075634F"/>
    <w:rsid w:val="00756758"/>
    <w:rsid w:val="007567C9"/>
    <w:rsid w:val="007571D5"/>
    <w:rsid w:val="00757393"/>
    <w:rsid w:val="0075775F"/>
    <w:rsid w:val="00757970"/>
    <w:rsid w:val="00760B53"/>
    <w:rsid w:val="007612E6"/>
    <w:rsid w:val="00761360"/>
    <w:rsid w:val="00761392"/>
    <w:rsid w:val="00761482"/>
    <w:rsid w:val="00761D66"/>
    <w:rsid w:val="00761E59"/>
    <w:rsid w:val="00762957"/>
    <w:rsid w:val="00762B3D"/>
    <w:rsid w:val="00762FA1"/>
    <w:rsid w:val="007637DC"/>
    <w:rsid w:val="00763B2F"/>
    <w:rsid w:val="00763F27"/>
    <w:rsid w:val="00764B9F"/>
    <w:rsid w:val="00764CAD"/>
    <w:rsid w:val="00765A3A"/>
    <w:rsid w:val="00765B97"/>
    <w:rsid w:val="00765CBA"/>
    <w:rsid w:val="00765E5B"/>
    <w:rsid w:val="0076623C"/>
    <w:rsid w:val="0076649B"/>
    <w:rsid w:val="00766839"/>
    <w:rsid w:val="00766DFF"/>
    <w:rsid w:val="00766E02"/>
    <w:rsid w:val="0076705F"/>
    <w:rsid w:val="00767398"/>
    <w:rsid w:val="00767409"/>
    <w:rsid w:val="00767A06"/>
    <w:rsid w:val="00767F3E"/>
    <w:rsid w:val="007700B3"/>
    <w:rsid w:val="00770475"/>
    <w:rsid w:val="00770A48"/>
    <w:rsid w:val="0077141A"/>
    <w:rsid w:val="00771D00"/>
    <w:rsid w:val="00771DE8"/>
    <w:rsid w:val="00771F2F"/>
    <w:rsid w:val="007721D2"/>
    <w:rsid w:val="00772255"/>
    <w:rsid w:val="00772FE1"/>
    <w:rsid w:val="00773BE5"/>
    <w:rsid w:val="00773C07"/>
    <w:rsid w:val="00773E31"/>
    <w:rsid w:val="007740EC"/>
    <w:rsid w:val="0077432B"/>
    <w:rsid w:val="00774C8F"/>
    <w:rsid w:val="00774F3F"/>
    <w:rsid w:val="007761D9"/>
    <w:rsid w:val="00776536"/>
    <w:rsid w:val="007767DB"/>
    <w:rsid w:val="00776EFD"/>
    <w:rsid w:val="00776FB2"/>
    <w:rsid w:val="00777172"/>
    <w:rsid w:val="0077720E"/>
    <w:rsid w:val="007774EE"/>
    <w:rsid w:val="00780A8E"/>
    <w:rsid w:val="00780AF3"/>
    <w:rsid w:val="00780C54"/>
    <w:rsid w:val="00780C70"/>
    <w:rsid w:val="00780ED1"/>
    <w:rsid w:val="00781253"/>
    <w:rsid w:val="0078145D"/>
    <w:rsid w:val="007816D3"/>
    <w:rsid w:val="00781CA4"/>
    <w:rsid w:val="00781E27"/>
    <w:rsid w:val="00781FD8"/>
    <w:rsid w:val="007822FF"/>
    <w:rsid w:val="00782764"/>
    <w:rsid w:val="00782D0A"/>
    <w:rsid w:val="007831A0"/>
    <w:rsid w:val="00783467"/>
    <w:rsid w:val="00783F64"/>
    <w:rsid w:val="00783FA6"/>
    <w:rsid w:val="00783FFE"/>
    <w:rsid w:val="007844EB"/>
    <w:rsid w:val="00784693"/>
    <w:rsid w:val="0078486B"/>
    <w:rsid w:val="00784F2D"/>
    <w:rsid w:val="0078540A"/>
    <w:rsid w:val="00785412"/>
    <w:rsid w:val="00785B55"/>
    <w:rsid w:val="007863B5"/>
    <w:rsid w:val="00786D0B"/>
    <w:rsid w:val="00786D40"/>
    <w:rsid w:val="00786EAE"/>
    <w:rsid w:val="00787EB5"/>
    <w:rsid w:val="0079006F"/>
    <w:rsid w:val="00790914"/>
    <w:rsid w:val="00790980"/>
    <w:rsid w:val="00790AC7"/>
    <w:rsid w:val="00790EAD"/>
    <w:rsid w:val="007917B2"/>
    <w:rsid w:val="00791A02"/>
    <w:rsid w:val="00792220"/>
    <w:rsid w:val="00792542"/>
    <w:rsid w:val="00792716"/>
    <w:rsid w:val="007931B3"/>
    <w:rsid w:val="00794688"/>
    <w:rsid w:val="00794E18"/>
    <w:rsid w:val="00794F0C"/>
    <w:rsid w:val="0079504C"/>
    <w:rsid w:val="0079616C"/>
    <w:rsid w:val="00796CB6"/>
    <w:rsid w:val="007972C2"/>
    <w:rsid w:val="007974D0"/>
    <w:rsid w:val="00797A19"/>
    <w:rsid w:val="00797BCE"/>
    <w:rsid w:val="00797D6E"/>
    <w:rsid w:val="007A00DF"/>
    <w:rsid w:val="007A1021"/>
    <w:rsid w:val="007A1211"/>
    <w:rsid w:val="007A1434"/>
    <w:rsid w:val="007A2299"/>
    <w:rsid w:val="007A26F9"/>
    <w:rsid w:val="007A3517"/>
    <w:rsid w:val="007A363C"/>
    <w:rsid w:val="007A3AD5"/>
    <w:rsid w:val="007A3EC8"/>
    <w:rsid w:val="007A40F1"/>
    <w:rsid w:val="007A509E"/>
    <w:rsid w:val="007A56AF"/>
    <w:rsid w:val="007A57CF"/>
    <w:rsid w:val="007A607A"/>
    <w:rsid w:val="007A647D"/>
    <w:rsid w:val="007A666E"/>
    <w:rsid w:val="007A68EF"/>
    <w:rsid w:val="007A6CF3"/>
    <w:rsid w:val="007A6F12"/>
    <w:rsid w:val="007A71DE"/>
    <w:rsid w:val="007A7383"/>
    <w:rsid w:val="007A7762"/>
    <w:rsid w:val="007A77A3"/>
    <w:rsid w:val="007A79E4"/>
    <w:rsid w:val="007B00CA"/>
    <w:rsid w:val="007B04CA"/>
    <w:rsid w:val="007B05C9"/>
    <w:rsid w:val="007B08CB"/>
    <w:rsid w:val="007B0F00"/>
    <w:rsid w:val="007B10D5"/>
    <w:rsid w:val="007B12BB"/>
    <w:rsid w:val="007B1504"/>
    <w:rsid w:val="007B1720"/>
    <w:rsid w:val="007B20BA"/>
    <w:rsid w:val="007B2137"/>
    <w:rsid w:val="007B227B"/>
    <w:rsid w:val="007B30DD"/>
    <w:rsid w:val="007B3363"/>
    <w:rsid w:val="007B354B"/>
    <w:rsid w:val="007B399C"/>
    <w:rsid w:val="007B3F5A"/>
    <w:rsid w:val="007B40DD"/>
    <w:rsid w:val="007B4252"/>
    <w:rsid w:val="007B4436"/>
    <w:rsid w:val="007B4D3B"/>
    <w:rsid w:val="007B4F3C"/>
    <w:rsid w:val="007B52C2"/>
    <w:rsid w:val="007B5A6D"/>
    <w:rsid w:val="007B5E74"/>
    <w:rsid w:val="007B74B3"/>
    <w:rsid w:val="007B7E54"/>
    <w:rsid w:val="007B7E6D"/>
    <w:rsid w:val="007C0542"/>
    <w:rsid w:val="007C0588"/>
    <w:rsid w:val="007C0CE9"/>
    <w:rsid w:val="007C0EA4"/>
    <w:rsid w:val="007C13E4"/>
    <w:rsid w:val="007C2B5F"/>
    <w:rsid w:val="007C32B0"/>
    <w:rsid w:val="007C355C"/>
    <w:rsid w:val="007C3675"/>
    <w:rsid w:val="007C37DE"/>
    <w:rsid w:val="007C3903"/>
    <w:rsid w:val="007C3C24"/>
    <w:rsid w:val="007C3D15"/>
    <w:rsid w:val="007C3D71"/>
    <w:rsid w:val="007C3EFA"/>
    <w:rsid w:val="007C4071"/>
    <w:rsid w:val="007C45A0"/>
    <w:rsid w:val="007C4751"/>
    <w:rsid w:val="007C4D20"/>
    <w:rsid w:val="007C4ECD"/>
    <w:rsid w:val="007C4FE0"/>
    <w:rsid w:val="007C5121"/>
    <w:rsid w:val="007C573B"/>
    <w:rsid w:val="007C5CF3"/>
    <w:rsid w:val="007C5D69"/>
    <w:rsid w:val="007C5F9D"/>
    <w:rsid w:val="007C6A8C"/>
    <w:rsid w:val="007C6BC6"/>
    <w:rsid w:val="007C6F25"/>
    <w:rsid w:val="007C7166"/>
    <w:rsid w:val="007C784C"/>
    <w:rsid w:val="007C7DAC"/>
    <w:rsid w:val="007D020B"/>
    <w:rsid w:val="007D05AF"/>
    <w:rsid w:val="007D0897"/>
    <w:rsid w:val="007D1211"/>
    <w:rsid w:val="007D141F"/>
    <w:rsid w:val="007D14E5"/>
    <w:rsid w:val="007D1894"/>
    <w:rsid w:val="007D18A5"/>
    <w:rsid w:val="007D21EE"/>
    <w:rsid w:val="007D2233"/>
    <w:rsid w:val="007D23BB"/>
    <w:rsid w:val="007D2ED3"/>
    <w:rsid w:val="007D3381"/>
    <w:rsid w:val="007D381A"/>
    <w:rsid w:val="007D3CCD"/>
    <w:rsid w:val="007D434D"/>
    <w:rsid w:val="007D48DF"/>
    <w:rsid w:val="007D4D3B"/>
    <w:rsid w:val="007D4E4F"/>
    <w:rsid w:val="007D54C4"/>
    <w:rsid w:val="007D55A9"/>
    <w:rsid w:val="007D5748"/>
    <w:rsid w:val="007D6115"/>
    <w:rsid w:val="007D65B3"/>
    <w:rsid w:val="007D65BB"/>
    <w:rsid w:val="007D6971"/>
    <w:rsid w:val="007D6C88"/>
    <w:rsid w:val="007D6E1F"/>
    <w:rsid w:val="007D7458"/>
    <w:rsid w:val="007D7719"/>
    <w:rsid w:val="007D781A"/>
    <w:rsid w:val="007D7E17"/>
    <w:rsid w:val="007D7E3F"/>
    <w:rsid w:val="007D7ED3"/>
    <w:rsid w:val="007E047F"/>
    <w:rsid w:val="007E0934"/>
    <w:rsid w:val="007E0DE4"/>
    <w:rsid w:val="007E12A0"/>
    <w:rsid w:val="007E1BD0"/>
    <w:rsid w:val="007E1F3F"/>
    <w:rsid w:val="007E242C"/>
    <w:rsid w:val="007E282B"/>
    <w:rsid w:val="007E2ECA"/>
    <w:rsid w:val="007E2FDC"/>
    <w:rsid w:val="007E37BC"/>
    <w:rsid w:val="007E39F7"/>
    <w:rsid w:val="007E3BEE"/>
    <w:rsid w:val="007E3F95"/>
    <w:rsid w:val="007E4285"/>
    <w:rsid w:val="007E492E"/>
    <w:rsid w:val="007E4ACE"/>
    <w:rsid w:val="007E4FC6"/>
    <w:rsid w:val="007E5E92"/>
    <w:rsid w:val="007E5FFF"/>
    <w:rsid w:val="007E65BF"/>
    <w:rsid w:val="007E6795"/>
    <w:rsid w:val="007E686B"/>
    <w:rsid w:val="007E69B5"/>
    <w:rsid w:val="007E69FA"/>
    <w:rsid w:val="007E6A54"/>
    <w:rsid w:val="007E6B07"/>
    <w:rsid w:val="007E7482"/>
    <w:rsid w:val="007E783D"/>
    <w:rsid w:val="007F0A1D"/>
    <w:rsid w:val="007F1397"/>
    <w:rsid w:val="007F13F9"/>
    <w:rsid w:val="007F17EA"/>
    <w:rsid w:val="007F17FA"/>
    <w:rsid w:val="007F1B41"/>
    <w:rsid w:val="007F1CE3"/>
    <w:rsid w:val="007F1CF9"/>
    <w:rsid w:val="007F2048"/>
    <w:rsid w:val="007F2402"/>
    <w:rsid w:val="007F2893"/>
    <w:rsid w:val="007F28F0"/>
    <w:rsid w:val="007F2D64"/>
    <w:rsid w:val="007F2DAE"/>
    <w:rsid w:val="007F31EA"/>
    <w:rsid w:val="007F377C"/>
    <w:rsid w:val="007F380B"/>
    <w:rsid w:val="007F3A50"/>
    <w:rsid w:val="007F4554"/>
    <w:rsid w:val="007F4ABC"/>
    <w:rsid w:val="007F4B56"/>
    <w:rsid w:val="007F50E3"/>
    <w:rsid w:val="007F54FC"/>
    <w:rsid w:val="007F581A"/>
    <w:rsid w:val="007F5B19"/>
    <w:rsid w:val="007F5D07"/>
    <w:rsid w:val="007F6D4A"/>
    <w:rsid w:val="007F6E5F"/>
    <w:rsid w:val="007F7106"/>
    <w:rsid w:val="007F7113"/>
    <w:rsid w:val="007F7B7A"/>
    <w:rsid w:val="007F7F71"/>
    <w:rsid w:val="00800471"/>
    <w:rsid w:val="008007D0"/>
    <w:rsid w:val="00800B62"/>
    <w:rsid w:val="00801A90"/>
    <w:rsid w:val="00802206"/>
    <w:rsid w:val="008022EC"/>
    <w:rsid w:val="00802B69"/>
    <w:rsid w:val="00802FF2"/>
    <w:rsid w:val="008030E2"/>
    <w:rsid w:val="0080331E"/>
    <w:rsid w:val="008033C0"/>
    <w:rsid w:val="00803CE6"/>
    <w:rsid w:val="00804179"/>
    <w:rsid w:val="0080420A"/>
    <w:rsid w:val="008047F3"/>
    <w:rsid w:val="008048DB"/>
    <w:rsid w:val="00804D6B"/>
    <w:rsid w:val="00804FBF"/>
    <w:rsid w:val="008057EE"/>
    <w:rsid w:val="00805BF7"/>
    <w:rsid w:val="008068DC"/>
    <w:rsid w:val="00806FF0"/>
    <w:rsid w:val="0080708F"/>
    <w:rsid w:val="00807578"/>
    <w:rsid w:val="0080778C"/>
    <w:rsid w:val="00807A7B"/>
    <w:rsid w:val="00807A97"/>
    <w:rsid w:val="00807AAD"/>
    <w:rsid w:val="00807B71"/>
    <w:rsid w:val="00807E51"/>
    <w:rsid w:val="00807F6A"/>
    <w:rsid w:val="00810154"/>
    <w:rsid w:val="00810384"/>
    <w:rsid w:val="008103CD"/>
    <w:rsid w:val="0081053D"/>
    <w:rsid w:val="00810B1D"/>
    <w:rsid w:val="00810C2B"/>
    <w:rsid w:val="00810F64"/>
    <w:rsid w:val="00810F6B"/>
    <w:rsid w:val="00811078"/>
    <w:rsid w:val="00811736"/>
    <w:rsid w:val="00811EFE"/>
    <w:rsid w:val="00812B93"/>
    <w:rsid w:val="00812EF1"/>
    <w:rsid w:val="00812F1E"/>
    <w:rsid w:val="0081303E"/>
    <w:rsid w:val="00813AA9"/>
    <w:rsid w:val="00813B57"/>
    <w:rsid w:val="00814047"/>
    <w:rsid w:val="00814809"/>
    <w:rsid w:val="00814BEB"/>
    <w:rsid w:val="00814CD5"/>
    <w:rsid w:val="00814F0B"/>
    <w:rsid w:val="008150C9"/>
    <w:rsid w:val="0081527D"/>
    <w:rsid w:val="008157B8"/>
    <w:rsid w:val="008157CA"/>
    <w:rsid w:val="00815AE4"/>
    <w:rsid w:val="00815B0C"/>
    <w:rsid w:val="00815B1D"/>
    <w:rsid w:val="00815CD2"/>
    <w:rsid w:val="00815E0D"/>
    <w:rsid w:val="00815F8A"/>
    <w:rsid w:val="00816318"/>
    <w:rsid w:val="00816C59"/>
    <w:rsid w:val="00816CC2"/>
    <w:rsid w:val="00816CC8"/>
    <w:rsid w:val="00817638"/>
    <w:rsid w:val="00817919"/>
    <w:rsid w:val="00820187"/>
    <w:rsid w:val="008201E3"/>
    <w:rsid w:val="0082043F"/>
    <w:rsid w:val="00820568"/>
    <w:rsid w:val="00820628"/>
    <w:rsid w:val="00820643"/>
    <w:rsid w:val="008206AA"/>
    <w:rsid w:val="008206FC"/>
    <w:rsid w:val="00820C2E"/>
    <w:rsid w:val="00820E1E"/>
    <w:rsid w:val="00821CB8"/>
    <w:rsid w:val="00822083"/>
    <w:rsid w:val="00822511"/>
    <w:rsid w:val="00822765"/>
    <w:rsid w:val="00822887"/>
    <w:rsid w:val="00822913"/>
    <w:rsid w:val="008229EF"/>
    <w:rsid w:val="00822A09"/>
    <w:rsid w:val="00822FEC"/>
    <w:rsid w:val="0082373D"/>
    <w:rsid w:val="00823831"/>
    <w:rsid w:val="0082404A"/>
    <w:rsid w:val="00824628"/>
    <w:rsid w:val="00824E1D"/>
    <w:rsid w:val="00825A30"/>
    <w:rsid w:val="00825A6F"/>
    <w:rsid w:val="00826DA0"/>
    <w:rsid w:val="00826DA2"/>
    <w:rsid w:val="00827047"/>
    <w:rsid w:val="00827659"/>
    <w:rsid w:val="00827668"/>
    <w:rsid w:val="008279B1"/>
    <w:rsid w:val="00827A7B"/>
    <w:rsid w:val="00830295"/>
    <w:rsid w:val="008303CF"/>
    <w:rsid w:val="008304C2"/>
    <w:rsid w:val="008305B1"/>
    <w:rsid w:val="00830BB2"/>
    <w:rsid w:val="00830E16"/>
    <w:rsid w:val="00831198"/>
    <w:rsid w:val="00831540"/>
    <w:rsid w:val="008317DC"/>
    <w:rsid w:val="008320FD"/>
    <w:rsid w:val="00832344"/>
    <w:rsid w:val="00832785"/>
    <w:rsid w:val="00832823"/>
    <w:rsid w:val="00832EBA"/>
    <w:rsid w:val="008332B9"/>
    <w:rsid w:val="008336AE"/>
    <w:rsid w:val="00833D1C"/>
    <w:rsid w:val="00833E54"/>
    <w:rsid w:val="00834596"/>
    <w:rsid w:val="00834AC0"/>
    <w:rsid w:val="00834C42"/>
    <w:rsid w:val="008355CD"/>
    <w:rsid w:val="00835721"/>
    <w:rsid w:val="008358CC"/>
    <w:rsid w:val="0083595D"/>
    <w:rsid w:val="008359AD"/>
    <w:rsid w:val="00835A0B"/>
    <w:rsid w:val="00836D8E"/>
    <w:rsid w:val="00836F89"/>
    <w:rsid w:val="00837862"/>
    <w:rsid w:val="008404A6"/>
    <w:rsid w:val="00840C99"/>
    <w:rsid w:val="0084160C"/>
    <w:rsid w:val="0084198A"/>
    <w:rsid w:val="00841ADB"/>
    <w:rsid w:val="00841B24"/>
    <w:rsid w:val="00842040"/>
    <w:rsid w:val="00842227"/>
    <w:rsid w:val="0084223F"/>
    <w:rsid w:val="00842255"/>
    <w:rsid w:val="0084265E"/>
    <w:rsid w:val="00842C3C"/>
    <w:rsid w:val="00843417"/>
    <w:rsid w:val="008439FC"/>
    <w:rsid w:val="00843C3F"/>
    <w:rsid w:val="00844AA0"/>
    <w:rsid w:val="00844F10"/>
    <w:rsid w:val="00845D4D"/>
    <w:rsid w:val="0084619E"/>
    <w:rsid w:val="008466AD"/>
    <w:rsid w:val="00846ACF"/>
    <w:rsid w:val="00846BB6"/>
    <w:rsid w:val="00846C30"/>
    <w:rsid w:val="00846F9E"/>
    <w:rsid w:val="00847004"/>
    <w:rsid w:val="00847166"/>
    <w:rsid w:val="008471EE"/>
    <w:rsid w:val="00847206"/>
    <w:rsid w:val="0084726F"/>
    <w:rsid w:val="00847374"/>
    <w:rsid w:val="0084749B"/>
    <w:rsid w:val="00847783"/>
    <w:rsid w:val="0085176A"/>
    <w:rsid w:val="0085184B"/>
    <w:rsid w:val="00851917"/>
    <w:rsid w:val="008519E8"/>
    <w:rsid w:val="00851C74"/>
    <w:rsid w:val="00851F6B"/>
    <w:rsid w:val="00852689"/>
    <w:rsid w:val="008528F1"/>
    <w:rsid w:val="008529F7"/>
    <w:rsid w:val="0085306C"/>
    <w:rsid w:val="008536D2"/>
    <w:rsid w:val="00853B21"/>
    <w:rsid w:val="00854886"/>
    <w:rsid w:val="00854CF4"/>
    <w:rsid w:val="00854E93"/>
    <w:rsid w:val="008550AE"/>
    <w:rsid w:val="0085558A"/>
    <w:rsid w:val="0085573F"/>
    <w:rsid w:val="00855E7F"/>
    <w:rsid w:val="008561A7"/>
    <w:rsid w:val="0085662D"/>
    <w:rsid w:val="00856FC6"/>
    <w:rsid w:val="008572DB"/>
    <w:rsid w:val="0085731A"/>
    <w:rsid w:val="00857607"/>
    <w:rsid w:val="00857D84"/>
    <w:rsid w:val="00857E32"/>
    <w:rsid w:val="00860148"/>
    <w:rsid w:val="0086069F"/>
    <w:rsid w:val="008609ED"/>
    <w:rsid w:val="00861004"/>
    <w:rsid w:val="0086109B"/>
    <w:rsid w:val="00861D2B"/>
    <w:rsid w:val="00862E27"/>
    <w:rsid w:val="008631F0"/>
    <w:rsid w:val="0086329E"/>
    <w:rsid w:val="00863E86"/>
    <w:rsid w:val="008645F7"/>
    <w:rsid w:val="008648D2"/>
    <w:rsid w:val="00864B27"/>
    <w:rsid w:val="0086503B"/>
    <w:rsid w:val="008650DC"/>
    <w:rsid w:val="008661CD"/>
    <w:rsid w:val="00866467"/>
    <w:rsid w:val="008665EE"/>
    <w:rsid w:val="0086686A"/>
    <w:rsid w:val="00866A15"/>
    <w:rsid w:val="00866AE3"/>
    <w:rsid w:val="00866D8B"/>
    <w:rsid w:val="00866DE1"/>
    <w:rsid w:val="008703A8"/>
    <w:rsid w:val="0087044B"/>
    <w:rsid w:val="008707C6"/>
    <w:rsid w:val="0087187F"/>
    <w:rsid w:val="00871974"/>
    <w:rsid w:val="008719C6"/>
    <w:rsid w:val="00871B86"/>
    <w:rsid w:val="00872040"/>
    <w:rsid w:val="008721E1"/>
    <w:rsid w:val="00872492"/>
    <w:rsid w:val="0087275B"/>
    <w:rsid w:val="00872966"/>
    <w:rsid w:val="00872B67"/>
    <w:rsid w:val="008739BB"/>
    <w:rsid w:val="00873A8A"/>
    <w:rsid w:val="00873A8F"/>
    <w:rsid w:val="00873B74"/>
    <w:rsid w:val="00873E24"/>
    <w:rsid w:val="00874839"/>
    <w:rsid w:val="00874F2E"/>
    <w:rsid w:val="0087596F"/>
    <w:rsid w:val="008769AD"/>
    <w:rsid w:val="0087744E"/>
    <w:rsid w:val="008775CB"/>
    <w:rsid w:val="008803A7"/>
    <w:rsid w:val="008805DF"/>
    <w:rsid w:val="008807DD"/>
    <w:rsid w:val="00880A85"/>
    <w:rsid w:val="00880D95"/>
    <w:rsid w:val="00881056"/>
    <w:rsid w:val="00881A1E"/>
    <w:rsid w:val="00881BE8"/>
    <w:rsid w:val="00881CAE"/>
    <w:rsid w:val="0088216E"/>
    <w:rsid w:val="008822B3"/>
    <w:rsid w:val="008826DB"/>
    <w:rsid w:val="008826F7"/>
    <w:rsid w:val="00882ED9"/>
    <w:rsid w:val="0088311F"/>
    <w:rsid w:val="00883310"/>
    <w:rsid w:val="00883849"/>
    <w:rsid w:val="008848FD"/>
    <w:rsid w:val="00884960"/>
    <w:rsid w:val="00884B33"/>
    <w:rsid w:val="0088511C"/>
    <w:rsid w:val="00885260"/>
    <w:rsid w:val="008856A0"/>
    <w:rsid w:val="008857D2"/>
    <w:rsid w:val="00885BE9"/>
    <w:rsid w:val="00885D62"/>
    <w:rsid w:val="00885EBC"/>
    <w:rsid w:val="0088699B"/>
    <w:rsid w:val="00886F71"/>
    <w:rsid w:val="00887CAB"/>
    <w:rsid w:val="00887DC8"/>
    <w:rsid w:val="0089132B"/>
    <w:rsid w:val="008916FE"/>
    <w:rsid w:val="00891B2D"/>
    <w:rsid w:val="00892412"/>
    <w:rsid w:val="00892539"/>
    <w:rsid w:val="00892AD1"/>
    <w:rsid w:val="00892B77"/>
    <w:rsid w:val="00892F79"/>
    <w:rsid w:val="00893212"/>
    <w:rsid w:val="00893608"/>
    <w:rsid w:val="008937D5"/>
    <w:rsid w:val="00893A95"/>
    <w:rsid w:val="00893C4C"/>
    <w:rsid w:val="00893FCA"/>
    <w:rsid w:val="0089455C"/>
    <w:rsid w:val="00894770"/>
    <w:rsid w:val="008947E5"/>
    <w:rsid w:val="00894AEC"/>
    <w:rsid w:val="00894E38"/>
    <w:rsid w:val="00894FDE"/>
    <w:rsid w:val="00895306"/>
    <w:rsid w:val="008956C6"/>
    <w:rsid w:val="008959D1"/>
    <w:rsid w:val="00895CAA"/>
    <w:rsid w:val="00896207"/>
    <w:rsid w:val="00896551"/>
    <w:rsid w:val="008967C2"/>
    <w:rsid w:val="00896D12"/>
    <w:rsid w:val="00896F91"/>
    <w:rsid w:val="00897AA2"/>
    <w:rsid w:val="00897B03"/>
    <w:rsid w:val="00897B4E"/>
    <w:rsid w:val="00897F1C"/>
    <w:rsid w:val="00897F2B"/>
    <w:rsid w:val="008A0BFE"/>
    <w:rsid w:val="008A0F97"/>
    <w:rsid w:val="008A117A"/>
    <w:rsid w:val="008A1267"/>
    <w:rsid w:val="008A2303"/>
    <w:rsid w:val="008A27AB"/>
    <w:rsid w:val="008A2843"/>
    <w:rsid w:val="008A2A74"/>
    <w:rsid w:val="008A2E8B"/>
    <w:rsid w:val="008A3441"/>
    <w:rsid w:val="008A34DC"/>
    <w:rsid w:val="008A357D"/>
    <w:rsid w:val="008A374B"/>
    <w:rsid w:val="008A3750"/>
    <w:rsid w:val="008A3C83"/>
    <w:rsid w:val="008A3EFE"/>
    <w:rsid w:val="008A4BCF"/>
    <w:rsid w:val="008A5B26"/>
    <w:rsid w:val="008A5D10"/>
    <w:rsid w:val="008A61D2"/>
    <w:rsid w:val="008A64E1"/>
    <w:rsid w:val="008A6533"/>
    <w:rsid w:val="008A6ADE"/>
    <w:rsid w:val="008A7194"/>
    <w:rsid w:val="008A72F3"/>
    <w:rsid w:val="008A74B1"/>
    <w:rsid w:val="008A7865"/>
    <w:rsid w:val="008A7885"/>
    <w:rsid w:val="008A7E5C"/>
    <w:rsid w:val="008B1099"/>
    <w:rsid w:val="008B12D1"/>
    <w:rsid w:val="008B1CA5"/>
    <w:rsid w:val="008B1F7E"/>
    <w:rsid w:val="008B3265"/>
    <w:rsid w:val="008B421D"/>
    <w:rsid w:val="008B4704"/>
    <w:rsid w:val="008B4CBB"/>
    <w:rsid w:val="008B4E10"/>
    <w:rsid w:val="008B522E"/>
    <w:rsid w:val="008B582A"/>
    <w:rsid w:val="008B5C04"/>
    <w:rsid w:val="008B6147"/>
    <w:rsid w:val="008B61C4"/>
    <w:rsid w:val="008B62A7"/>
    <w:rsid w:val="008B65DC"/>
    <w:rsid w:val="008B7270"/>
    <w:rsid w:val="008B7684"/>
    <w:rsid w:val="008B7783"/>
    <w:rsid w:val="008B7DDC"/>
    <w:rsid w:val="008C0002"/>
    <w:rsid w:val="008C127D"/>
    <w:rsid w:val="008C1D8B"/>
    <w:rsid w:val="008C2326"/>
    <w:rsid w:val="008C24E9"/>
    <w:rsid w:val="008C271F"/>
    <w:rsid w:val="008C2C70"/>
    <w:rsid w:val="008C308A"/>
    <w:rsid w:val="008C3134"/>
    <w:rsid w:val="008C3BBB"/>
    <w:rsid w:val="008C3D11"/>
    <w:rsid w:val="008C4373"/>
    <w:rsid w:val="008C4378"/>
    <w:rsid w:val="008C43EC"/>
    <w:rsid w:val="008C45E9"/>
    <w:rsid w:val="008C46F8"/>
    <w:rsid w:val="008C4F70"/>
    <w:rsid w:val="008C5ABC"/>
    <w:rsid w:val="008C5FD2"/>
    <w:rsid w:val="008C61F3"/>
    <w:rsid w:val="008C64EC"/>
    <w:rsid w:val="008C6565"/>
    <w:rsid w:val="008C6891"/>
    <w:rsid w:val="008C6B25"/>
    <w:rsid w:val="008C6F6B"/>
    <w:rsid w:val="008C7790"/>
    <w:rsid w:val="008C7FBD"/>
    <w:rsid w:val="008D02C1"/>
    <w:rsid w:val="008D06BF"/>
    <w:rsid w:val="008D12DD"/>
    <w:rsid w:val="008D18BA"/>
    <w:rsid w:val="008D1D37"/>
    <w:rsid w:val="008D1EB1"/>
    <w:rsid w:val="008D32D1"/>
    <w:rsid w:val="008D32ED"/>
    <w:rsid w:val="008D3851"/>
    <w:rsid w:val="008D39E5"/>
    <w:rsid w:val="008D3BA0"/>
    <w:rsid w:val="008D3FE4"/>
    <w:rsid w:val="008D4A1F"/>
    <w:rsid w:val="008D4A4A"/>
    <w:rsid w:val="008D4E03"/>
    <w:rsid w:val="008D5212"/>
    <w:rsid w:val="008D52FC"/>
    <w:rsid w:val="008D5FA1"/>
    <w:rsid w:val="008D61CA"/>
    <w:rsid w:val="008D6650"/>
    <w:rsid w:val="008D6854"/>
    <w:rsid w:val="008D71AA"/>
    <w:rsid w:val="008D72A0"/>
    <w:rsid w:val="008D78C6"/>
    <w:rsid w:val="008D7DA6"/>
    <w:rsid w:val="008E060A"/>
    <w:rsid w:val="008E0A1B"/>
    <w:rsid w:val="008E122C"/>
    <w:rsid w:val="008E1AD5"/>
    <w:rsid w:val="008E1D8B"/>
    <w:rsid w:val="008E2426"/>
    <w:rsid w:val="008E2DE8"/>
    <w:rsid w:val="008E3108"/>
    <w:rsid w:val="008E3718"/>
    <w:rsid w:val="008E37ED"/>
    <w:rsid w:val="008E3BCB"/>
    <w:rsid w:val="008E3EC8"/>
    <w:rsid w:val="008E4009"/>
    <w:rsid w:val="008E4E19"/>
    <w:rsid w:val="008E5042"/>
    <w:rsid w:val="008E516E"/>
    <w:rsid w:val="008E5284"/>
    <w:rsid w:val="008E5D68"/>
    <w:rsid w:val="008E60B5"/>
    <w:rsid w:val="008E6627"/>
    <w:rsid w:val="008E6766"/>
    <w:rsid w:val="008E6A65"/>
    <w:rsid w:val="008E6B13"/>
    <w:rsid w:val="008E708E"/>
    <w:rsid w:val="008E76BD"/>
    <w:rsid w:val="008E782D"/>
    <w:rsid w:val="008E7DE4"/>
    <w:rsid w:val="008F018B"/>
    <w:rsid w:val="008F029B"/>
    <w:rsid w:val="008F065B"/>
    <w:rsid w:val="008F0738"/>
    <w:rsid w:val="008F0F8F"/>
    <w:rsid w:val="008F10AF"/>
    <w:rsid w:val="008F1187"/>
    <w:rsid w:val="008F1707"/>
    <w:rsid w:val="008F180C"/>
    <w:rsid w:val="008F1A6C"/>
    <w:rsid w:val="008F1C1B"/>
    <w:rsid w:val="008F214D"/>
    <w:rsid w:val="008F2758"/>
    <w:rsid w:val="008F29B9"/>
    <w:rsid w:val="008F2A84"/>
    <w:rsid w:val="008F2CC2"/>
    <w:rsid w:val="008F2CDD"/>
    <w:rsid w:val="008F3097"/>
    <w:rsid w:val="008F31B7"/>
    <w:rsid w:val="008F32AF"/>
    <w:rsid w:val="008F3437"/>
    <w:rsid w:val="008F362F"/>
    <w:rsid w:val="008F3A18"/>
    <w:rsid w:val="008F3AFD"/>
    <w:rsid w:val="008F44AC"/>
    <w:rsid w:val="008F4551"/>
    <w:rsid w:val="008F46A1"/>
    <w:rsid w:val="008F52A1"/>
    <w:rsid w:val="008F5650"/>
    <w:rsid w:val="008F5998"/>
    <w:rsid w:val="008F5AD2"/>
    <w:rsid w:val="008F5C33"/>
    <w:rsid w:val="008F5CE5"/>
    <w:rsid w:val="008F5D3E"/>
    <w:rsid w:val="008F5FF9"/>
    <w:rsid w:val="008F6369"/>
    <w:rsid w:val="008F6377"/>
    <w:rsid w:val="008F65A1"/>
    <w:rsid w:val="008F6769"/>
    <w:rsid w:val="008F68D8"/>
    <w:rsid w:val="008F6E67"/>
    <w:rsid w:val="008F718D"/>
    <w:rsid w:val="008F75A4"/>
    <w:rsid w:val="008F79A9"/>
    <w:rsid w:val="008F7F04"/>
    <w:rsid w:val="009003B5"/>
    <w:rsid w:val="00900609"/>
    <w:rsid w:val="009006BF"/>
    <w:rsid w:val="00900D94"/>
    <w:rsid w:val="00901276"/>
    <w:rsid w:val="00901CDA"/>
    <w:rsid w:val="00901D70"/>
    <w:rsid w:val="00902117"/>
    <w:rsid w:val="00902592"/>
    <w:rsid w:val="0090260E"/>
    <w:rsid w:val="00902CF9"/>
    <w:rsid w:val="00902FA7"/>
    <w:rsid w:val="00902FE2"/>
    <w:rsid w:val="0090322A"/>
    <w:rsid w:val="0090322B"/>
    <w:rsid w:val="009033ED"/>
    <w:rsid w:val="00903969"/>
    <w:rsid w:val="00903A24"/>
    <w:rsid w:val="00904BC5"/>
    <w:rsid w:val="00904C7E"/>
    <w:rsid w:val="0090590F"/>
    <w:rsid w:val="0090614A"/>
    <w:rsid w:val="009062F7"/>
    <w:rsid w:val="0090691B"/>
    <w:rsid w:val="00906C87"/>
    <w:rsid w:val="009070A1"/>
    <w:rsid w:val="00907B5C"/>
    <w:rsid w:val="00910596"/>
    <w:rsid w:val="009113C7"/>
    <w:rsid w:val="00911BA7"/>
    <w:rsid w:val="00912322"/>
    <w:rsid w:val="00912E91"/>
    <w:rsid w:val="00913C91"/>
    <w:rsid w:val="00914214"/>
    <w:rsid w:val="00914273"/>
    <w:rsid w:val="00914E1E"/>
    <w:rsid w:val="00915788"/>
    <w:rsid w:val="009158B6"/>
    <w:rsid w:val="00915FC8"/>
    <w:rsid w:val="009166B3"/>
    <w:rsid w:val="00916783"/>
    <w:rsid w:val="009167DC"/>
    <w:rsid w:val="00917B5B"/>
    <w:rsid w:val="00917B7B"/>
    <w:rsid w:val="00920026"/>
    <w:rsid w:val="009202F2"/>
    <w:rsid w:val="009204FF"/>
    <w:rsid w:val="009207D3"/>
    <w:rsid w:val="00920A93"/>
    <w:rsid w:val="00921653"/>
    <w:rsid w:val="009219D9"/>
    <w:rsid w:val="00921A71"/>
    <w:rsid w:val="00921DE6"/>
    <w:rsid w:val="009222FA"/>
    <w:rsid w:val="009224AB"/>
    <w:rsid w:val="009226AA"/>
    <w:rsid w:val="00922BAC"/>
    <w:rsid w:val="00922D83"/>
    <w:rsid w:val="0092304D"/>
    <w:rsid w:val="00923233"/>
    <w:rsid w:val="00923977"/>
    <w:rsid w:val="009239EB"/>
    <w:rsid w:val="00923A0C"/>
    <w:rsid w:val="009241C5"/>
    <w:rsid w:val="00925756"/>
    <w:rsid w:val="00925A6A"/>
    <w:rsid w:val="00925E11"/>
    <w:rsid w:val="00925F10"/>
    <w:rsid w:val="009260D3"/>
    <w:rsid w:val="00926ACB"/>
    <w:rsid w:val="00930C11"/>
    <w:rsid w:val="0093144C"/>
    <w:rsid w:val="0093151C"/>
    <w:rsid w:val="00931704"/>
    <w:rsid w:val="00931CF3"/>
    <w:rsid w:val="00931D2F"/>
    <w:rsid w:val="00931E0A"/>
    <w:rsid w:val="00932163"/>
    <w:rsid w:val="0093243D"/>
    <w:rsid w:val="009325D1"/>
    <w:rsid w:val="0093266A"/>
    <w:rsid w:val="00932B6F"/>
    <w:rsid w:val="00932BCD"/>
    <w:rsid w:val="00932ECA"/>
    <w:rsid w:val="0093308B"/>
    <w:rsid w:val="0093348D"/>
    <w:rsid w:val="009339D1"/>
    <w:rsid w:val="00934D29"/>
    <w:rsid w:val="00934F1E"/>
    <w:rsid w:val="00934FC5"/>
    <w:rsid w:val="00935486"/>
    <w:rsid w:val="00935ADA"/>
    <w:rsid w:val="00935B50"/>
    <w:rsid w:val="00935F37"/>
    <w:rsid w:val="00936892"/>
    <w:rsid w:val="00936A97"/>
    <w:rsid w:val="0093700D"/>
    <w:rsid w:val="009377B4"/>
    <w:rsid w:val="00937C7C"/>
    <w:rsid w:val="00937DA2"/>
    <w:rsid w:val="00937E70"/>
    <w:rsid w:val="00937F0B"/>
    <w:rsid w:val="009402E7"/>
    <w:rsid w:val="0094036C"/>
    <w:rsid w:val="00940481"/>
    <w:rsid w:val="009404BA"/>
    <w:rsid w:val="00940514"/>
    <w:rsid w:val="00941872"/>
    <w:rsid w:val="00941DA5"/>
    <w:rsid w:val="00942501"/>
    <w:rsid w:val="009429E8"/>
    <w:rsid w:val="00942A8F"/>
    <w:rsid w:val="00942A93"/>
    <w:rsid w:val="00942BF8"/>
    <w:rsid w:val="00943569"/>
    <w:rsid w:val="0094372E"/>
    <w:rsid w:val="0094421E"/>
    <w:rsid w:val="009447A2"/>
    <w:rsid w:val="00945270"/>
    <w:rsid w:val="00945435"/>
    <w:rsid w:val="0094588D"/>
    <w:rsid w:val="00945C18"/>
    <w:rsid w:val="00945C20"/>
    <w:rsid w:val="00945EB9"/>
    <w:rsid w:val="00946950"/>
    <w:rsid w:val="00946D02"/>
    <w:rsid w:val="00946FEF"/>
    <w:rsid w:val="009473A7"/>
    <w:rsid w:val="009473E7"/>
    <w:rsid w:val="0094741F"/>
    <w:rsid w:val="009478DD"/>
    <w:rsid w:val="0094798E"/>
    <w:rsid w:val="00947B1C"/>
    <w:rsid w:val="00947D02"/>
    <w:rsid w:val="00947F13"/>
    <w:rsid w:val="00950567"/>
    <w:rsid w:val="0095096C"/>
    <w:rsid w:val="00950A35"/>
    <w:rsid w:val="009517A2"/>
    <w:rsid w:val="00951AEA"/>
    <w:rsid w:val="00951E04"/>
    <w:rsid w:val="00951F9B"/>
    <w:rsid w:val="009522D7"/>
    <w:rsid w:val="009527D6"/>
    <w:rsid w:val="0095325B"/>
    <w:rsid w:val="009537D7"/>
    <w:rsid w:val="009541AB"/>
    <w:rsid w:val="0095457A"/>
    <w:rsid w:val="00955B16"/>
    <w:rsid w:val="00956392"/>
    <w:rsid w:val="00956B01"/>
    <w:rsid w:val="00956F17"/>
    <w:rsid w:val="00957113"/>
    <w:rsid w:val="0095763D"/>
    <w:rsid w:val="0095792B"/>
    <w:rsid w:val="00957D55"/>
    <w:rsid w:val="00957D68"/>
    <w:rsid w:val="009605C1"/>
    <w:rsid w:val="009606E6"/>
    <w:rsid w:val="00960822"/>
    <w:rsid w:val="009608D4"/>
    <w:rsid w:val="00960E93"/>
    <w:rsid w:val="00960F96"/>
    <w:rsid w:val="009611EB"/>
    <w:rsid w:val="009612F9"/>
    <w:rsid w:val="00961813"/>
    <w:rsid w:val="009618C7"/>
    <w:rsid w:val="00961C9B"/>
    <w:rsid w:val="009622BC"/>
    <w:rsid w:val="00962958"/>
    <w:rsid w:val="00962AAB"/>
    <w:rsid w:val="00963155"/>
    <w:rsid w:val="00963C43"/>
    <w:rsid w:val="00963DDD"/>
    <w:rsid w:val="00963F90"/>
    <w:rsid w:val="0096425A"/>
    <w:rsid w:val="00964D36"/>
    <w:rsid w:val="009651C5"/>
    <w:rsid w:val="009657C1"/>
    <w:rsid w:val="009658A8"/>
    <w:rsid w:val="0096592D"/>
    <w:rsid w:val="00966AB4"/>
    <w:rsid w:val="00966AC5"/>
    <w:rsid w:val="00966C8F"/>
    <w:rsid w:val="00966E8D"/>
    <w:rsid w:val="0096708F"/>
    <w:rsid w:val="009704EC"/>
    <w:rsid w:val="00970783"/>
    <w:rsid w:val="00970FC2"/>
    <w:rsid w:val="0097146A"/>
    <w:rsid w:val="009717CF"/>
    <w:rsid w:val="00971C13"/>
    <w:rsid w:val="00971C62"/>
    <w:rsid w:val="00972089"/>
    <w:rsid w:val="0097244A"/>
    <w:rsid w:val="00972740"/>
    <w:rsid w:val="009728DD"/>
    <w:rsid w:val="009728E2"/>
    <w:rsid w:val="009729AB"/>
    <w:rsid w:val="00972C78"/>
    <w:rsid w:val="00973061"/>
    <w:rsid w:val="009739F3"/>
    <w:rsid w:val="00973BD0"/>
    <w:rsid w:val="00973D07"/>
    <w:rsid w:val="009741F2"/>
    <w:rsid w:val="009745F8"/>
    <w:rsid w:val="00974888"/>
    <w:rsid w:val="00974905"/>
    <w:rsid w:val="00974BDC"/>
    <w:rsid w:val="0097530A"/>
    <w:rsid w:val="00975503"/>
    <w:rsid w:val="00975B03"/>
    <w:rsid w:val="00975B80"/>
    <w:rsid w:val="00975D6C"/>
    <w:rsid w:val="009764DD"/>
    <w:rsid w:val="009765CD"/>
    <w:rsid w:val="00977A65"/>
    <w:rsid w:val="009803C0"/>
    <w:rsid w:val="0098088C"/>
    <w:rsid w:val="00980CBA"/>
    <w:rsid w:val="00980DA8"/>
    <w:rsid w:val="00980DAD"/>
    <w:rsid w:val="00980E76"/>
    <w:rsid w:val="0098117D"/>
    <w:rsid w:val="00981D41"/>
    <w:rsid w:val="00981D8A"/>
    <w:rsid w:val="009822EA"/>
    <w:rsid w:val="009828ED"/>
    <w:rsid w:val="009828F6"/>
    <w:rsid w:val="0098322D"/>
    <w:rsid w:val="009837BF"/>
    <w:rsid w:val="00983E29"/>
    <w:rsid w:val="00984178"/>
    <w:rsid w:val="0098428F"/>
    <w:rsid w:val="009865FD"/>
    <w:rsid w:val="00986A6B"/>
    <w:rsid w:val="00987AD2"/>
    <w:rsid w:val="009908EF"/>
    <w:rsid w:val="00990F7E"/>
    <w:rsid w:val="009910F5"/>
    <w:rsid w:val="009915BD"/>
    <w:rsid w:val="00991686"/>
    <w:rsid w:val="00992626"/>
    <w:rsid w:val="00992939"/>
    <w:rsid w:val="00992AB2"/>
    <w:rsid w:val="00993319"/>
    <w:rsid w:val="009939F4"/>
    <w:rsid w:val="00993A57"/>
    <w:rsid w:val="00993DBC"/>
    <w:rsid w:val="00994082"/>
    <w:rsid w:val="0099409F"/>
    <w:rsid w:val="009942C9"/>
    <w:rsid w:val="009946DD"/>
    <w:rsid w:val="00994E9D"/>
    <w:rsid w:val="009950E6"/>
    <w:rsid w:val="00995431"/>
    <w:rsid w:val="00995CF4"/>
    <w:rsid w:val="00996516"/>
    <w:rsid w:val="009968ED"/>
    <w:rsid w:val="0099692E"/>
    <w:rsid w:val="00996AF2"/>
    <w:rsid w:val="00996C07"/>
    <w:rsid w:val="00997307"/>
    <w:rsid w:val="009975CE"/>
    <w:rsid w:val="009976B0"/>
    <w:rsid w:val="009977E9"/>
    <w:rsid w:val="00997B62"/>
    <w:rsid w:val="00997CC0"/>
    <w:rsid w:val="009A00B8"/>
    <w:rsid w:val="009A072C"/>
    <w:rsid w:val="009A0E8F"/>
    <w:rsid w:val="009A12C2"/>
    <w:rsid w:val="009A147B"/>
    <w:rsid w:val="009A1C8F"/>
    <w:rsid w:val="009A276F"/>
    <w:rsid w:val="009A2A00"/>
    <w:rsid w:val="009A301E"/>
    <w:rsid w:val="009A304F"/>
    <w:rsid w:val="009A387A"/>
    <w:rsid w:val="009A3D46"/>
    <w:rsid w:val="009A3E46"/>
    <w:rsid w:val="009A4566"/>
    <w:rsid w:val="009A4774"/>
    <w:rsid w:val="009A4F49"/>
    <w:rsid w:val="009A5213"/>
    <w:rsid w:val="009A570C"/>
    <w:rsid w:val="009A57C9"/>
    <w:rsid w:val="009A57E7"/>
    <w:rsid w:val="009A5FDC"/>
    <w:rsid w:val="009A5FFF"/>
    <w:rsid w:val="009A62F8"/>
    <w:rsid w:val="009A6972"/>
    <w:rsid w:val="009A6D33"/>
    <w:rsid w:val="009A6D6D"/>
    <w:rsid w:val="009A73D0"/>
    <w:rsid w:val="009A780F"/>
    <w:rsid w:val="009A7A4D"/>
    <w:rsid w:val="009B0B59"/>
    <w:rsid w:val="009B0E92"/>
    <w:rsid w:val="009B21C0"/>
    <w:rsid w:val="009B2703"/>
    <w:rsid w:val="009B2ED2"/>
    <w:rsid w:val="009B3B31"/>
    <w:rsid w:val="009B412F"/>
    <w:rsid w:val="009B428F"/>
    <w:rsid w:val="009B47A2"/>
    <w:rsid w:val="009B5659"/>
    <w:rsid w:val="009B5D78"/>
    <w:rsid w:val="009B5E46"/>
    <w:rsid w:val="009B647A"/>
    <w:rsid w:val="009B671B"/>
    <w:rsid w:val="009B6C99"/>
    <w:rsid w:val="009B75AC"/>
    <w:rsid w:val="009B778D"/>
    <w:rsid w:val="009B7C92"/>
    <w:rsid w:val="009C00C7"/>
    <w:rsid w:val="009C05ED"/>
    <w:rsid w:val="009C0A2F"/>
    <w:rsid w:val="009C0FD0"/>
    <w:rsid w:val="009C10C1"/>
    <w:rsid w:val="009C1172"/>
    <w:rsid w:val="009C1516"/>
    <w:rsid w:val="009C17CA"/>
    <w:rsid w:val="009C19D6"/>
    <w:rsid w:val="009C1A21"/>
    <w:rsid w:val="009C1CEC"/>
    <w:rsid w:val="009C1E32"/>
    <w:rsid w:val="009C216D"/>
    <w:rsid w:val="009C223E"/>
    <w:rsid w:val="009C2268"/>
    <w:rsid w:val="009C26ED"/>
    <w:rsid w:val="009C274C"/>
    <w:rsid w:val="009C27A9"/>
    <w:rsid w:val="009C2AE6"/>
    <w:rsid w:val="009C3345"/>
    <w:rsid w:val="009C3468"/>
    <w:rsid w:val="009C5533"/>
    <w:rsid w:val="009C5691"/>
    <w:rsid w:val="009C58AB"/>
    <w:rsid w:val="009C6023"/>
    <w:rsid w:val="009C60D3"/>
    <w:rsid w:val="009C6962"/>
    <w:rsid w:val="009C70F0"/>
    <w:rsid w:val="009C719C"/>
    <w:rsid w:val="009C77EF"/>
    <w:rsid w:val="009C7960"/>
    <w:rsid w:val="009C79BE"/>
    <w:rsid w:val="009C7CC7"/>
    <w:rsid w:val="009C7D8C"/>
    <w:rsid w:val="009D0348"/>
    <w:rsid w:val="009D048F"/>
    <w:rsid w:val="009D0701"/>
    <w:rsid w:val="009D07B7"/>
    <w:rsid w:val="009D0D3A"/>
    <w:rsid w:val="009D1579"/>
    <w:rsid w:val="009D1789"/>
    <w:rsid w:val="009D1937"/>
    <w:rsid w:val="009D1981"/>
    <w:rsid w:val="009D1A5A"/>
    <w:rsid w:val="009D1E9C"/>
    <w:rsid w:val="009D1F9E"/>
    <w:rsid w:val="009D2234"/>
    <w:rsid w:val="009D26ED"/>
    <w:rsid w:val="009D2C7D"/>
    <w:rsid w:val="009D2F96"/>
    <w:rsid w:val="009D38D9"/>
    <w:rsid w:val="009D3DA0"/>
    <w:rsid w:val="009D4EDB"/>
    <w:rsid w:val="009D51CD"/>
    <w:rsid w:val="009D5482"/>
    <w:rsid w:val="009D5487"/>
    <w:rsid w:val="009D5793"/>
    <w:rsid w:val="009D5987"/>
    <w:rsid w:val="009D5B31"/>
    <w:rsid w:val="009D5CA4"/>
    <w:rsid w:val="009D611A"/>
    <w:rsid w:val="009D619A"/>
    <w:rsid w:val="009D6445"/>
    <w:rsid w:val="009D6A3A"/>
    <w:rsid w:val="009D708F"/>
    <w:rsid w:val="009D7117"/>
    <w:rsid w:val="009D7873"/>
    <w:rsid w:val="009D7A85"/>
    <w:rsid w:val="009D7B32"/>
    <w:rsid w:val="009D7F05"/>
    <w:rsid w:val="009D7F4E"/>
    <w:rsid w:val="009E0133"/>
    <w:rsid w:val="009E0339"/>
    <w:rsid w:val="009E05F3"/>
    <w:rsid w:val="009E0BA4"/>
    <w:rsid w:val="009E1457"/>
    <w:rsid w:val="009E17E6"/>
    <w:rsid w:val="009E1D92"/>
    <w:rsid w:val="009E1F32"/>
    <w:rsid w:val="009E1FAA"/>
    <w:rsid w:val="009E273D"/>
    <w:rsid w:val="009E2D50"/>
    <w:rsid w:val="009E2D88"/>
    <w:rsid w:val="009E3A22"/>
    <w:rsid w:val="009E3E27"/>
    <w:rsid w:val="009E465C"/>
    <w:rsid w:val="009E4CCF"/>
    <w:rsid w:val="009E50E9"/>
    <w:rsid w:val="009E524A"/>
    <w:rsid w:val="009E6039"/>
    <w:rsid w:val="009E6FFA"/>
    <w:rsid w:val="009E78EC"/>
    <w:rsid w:val="009E7BC4"/>
    <w:rsid w:val="009F0055"/>
    <w:rsid w:val="009F00D4"/>
    <w:rsid w:val="009F0750"/>
    <w:rsid w:val="009F13F0"/>
    <w:rsid w:val="009F1711"/>
    <w:rsid w:val="009F1B67"/>
    <w:rsid w:val="009F1BE6"/>
    <w:rsid w:val="009F20B1"/>
    <w:rsid w:val="009F2204"/>
    <w:rsid w:val="009F2220"/>
    <w:rsid w:val="009F2ADD"/>
    <w:rsid w:val="009F2BF2"/>
    <w:rsid w:val="009F38E6"/>
    <w:rsid w:val="009F3F5C"/>
    <w:rsid w:val="009F46B3"/>
    <w:rsid w:val="009F47D4"/>
    <w:rsid w:val="009F4AEF"/>
    <w:rsid w:val="009F4B06"/>
    <w:rsid w:val="009F4B3E"/>
    <w:rsid w:val="009F4C78"/>
    <w:rsid w:val="009F5328"/>
    <w:rsid w:val="009F581E"/>
    <w:rsid w:val="009F5D54"/>
    <w:rsid w:val="009F6071"/>
    <w:rsid w:val="009F621D"/>
    <w:rsid w:val="009F7090"/>
    <w:rsid w:val="009F7B25"/>
    <w:rsid w:val="00A00C93"/>
    <w:rsid w:val="00A00E72"/>
    <w:rsid w:val="00A00E74"/>
    <w:rsid w:val="00A0152C"/>
    <w:rsid w:val="00A0157D"/>
    <w:rsid w:val="00A015A3"/>
    <w:rsid w:val="00A01718"/>
    <w:rsid w:val="00A01942"/>
    <w:rsid w:val="00A01F74"/>
    <w:rsid w:val="00A020EE"/>
    <w:rsid w:val="00A0226D"/>
    <w:rsid w:val="00A024AA"/>
    <w:rsid w:val="00A02819"/>
    <w:rsid w:val="00A028F0"/>
    <w:rsid w:val="00A02BC8"/>
    <w:rsid w:val="00A02DF2"/>
    <w:rsid w:val="00A02F35"/>
    <w:rsid w:val="00A0346D"/>
    <w:rsid w:val="00A047D1"/>
    <w:rsid w:val="00A04A8C"/>
    <w:rsid w:val="00A04C72"/>
    <w:rsid w:val="00A0538D"/>
    <w:rsid w:val="00A057E1"/>
    <w:rsid w:val="00A05A32"/>
    <w:rsid w:val="00A062EA"/>
    <w:rsid w:val="00A06437"/>
    <w:rsid w:val="00A06A7F"/>
    <w:rsid w:val="00A06EDF"/>
    <w:rsid w:val="00A07183"/>
    <w:rsid w:val="00A072EE"/>
    <w:rsid w:val="00A073B2"/>
    <w:rsid w:val="00A07767"/>
    <w:rsid w:val="00A07859"/>
    <w:rsid w:val="00A079BD"/>
    <w:rsid w:val="00A1010A"/>
    <w:rsid w:val="00A10C22"/>
    <w:rsid w:val="00A10EFB"/>
    <w:rsid w:val="00A1114C"/>
    <w:rsid w:val="00A1154D"/>
    <w:rsid w:val="00A12256"/>
    <w:rsid w:val="00A123CA"/>
    <w:rsid w:val="00A1285A"/>
    <w:rsid w:val="00A12B4F"/>
    <w:rsid w:val="00A12ED0"/>
    <w:rsid w:val="00A1377F"/>
    <w:rsid w:val="00A13903"/>
    <w:rsid w:val="00A13CE3"/>
    <w:rsid w:val="00A142EA"/>
    <w:rsid w:val="00A142FA"/>
    <w:rsid w:val="00A145F6"/>
    <w:rsid w:val="00A14947"/>
    <w:rsid w:val="00A1538B"/>
    <w:rsid w:val="00A15559"/>
    <w:rsid w:val="00A16472"/>
    <w:rsid w:val="00A164BF"/>
    <w:rsid w:val="00A166A5"/>
    <w:rsid w:val="00A1678E"/>
    <w:rsid w:val="00A167E9"/>
    <w:rsid w:val="00A1697D"/>
    <w:rsid w:val="00A16A56"/>
    <w:rsid w:val="00A16AD7"/>
    <w:rsid w:val="00A17543"/>
    <w:rsid w:val="00A17DDF"/>
    <w:rsid w:val="00A20623"/>
    <w:rsid w:val="00A20775"/>
    <w:rsid w:val="00A21139"/>
    <w:rsid w:val="00A21A73"/>
    <w:rsid w:val="00A21C77"/>
    <w:rsid w:val="00A221B7"/>
    <w:rsid w:val="00A2294F"/>
    <w:rsid w:val="00A22B4C"/>
    <w:rsid w:val="00A22C6F"/>
    <w:rsid w:val="00A23157"/>
    <w:rsid w:val="00A23429"/>
    <w:rsid w:val="00A23DCB"/>
    <w:rsid w:val="00A24280"/>
    <w:rsid w:val="00A2473E"/>
    <w:rsid w:val="00A24805"/>
    <w:rsid w:val="00A24C17"/>
    <w:rsid w:val="00A24F5F"/>
    <w:rsid w:val="00A25ECF"/>
    <w:rsid w:val="00A26F2D"/>
    <w:rsid w:val="00A27006"/>
    <w:rsid w:val="00A27936"/>
    <w:rsid w:val="00A27AF0"/>
    <w:rsid w:val="00A27C30"/>
    <w:rsid w:val="00A27CE5"/>
    <w:rsid w:val="00A3008D"/>
    <w:rsid w:val="00A30367"/>
    <w:rsid w:val="00A303FB"/>
    <w:rsid w:val="00A30456"/>
    <w:rsid w:val="00A30518"/>
    <w:rsid w:val="00A305E8"/>
    <w:rsid w:val="00A3072C"/>
    <w:rsid w:val="00A307B3"/>
    <w:rsid w:val="00A30903"/>
    <w:rsid w:val="00A30EBE"/>
    <w:rsid w:val="00A319BC"/>
    <w:rsid w:val="00A31D06"/>
    <w:rsid w:val="00A32D9B"/>
    <w:rsid w:val="00A33850"/>
    <w:rsid w:val="00A33AD7"/>
    <w:rsid w:val="00A343B2"/>
    <w:rsid w:val="00A34B7C"/>
    <w:rsid w:val="00A34CC8"/>
    <w:rsid w:val="00A34FFC"/>
    <w:rsid w:val="00A35163"/>
    <w:rsid w:val="00A35398"/>
    <w:rsid w:val="00A35D7B"/>
    <w:rsid w:val="00A365A0"/>
    <w:rsid w:val="00A36D96"/>
    <w:rsid w:val="00A371DD"/>
    <w:rsid w:val="00A374FE"/>
    <w:rsid w:val="00A379C8"/>
    <w:rsid w:val="00A37D0C"/>
    <w:rsid w:val="00A40AE1"/>
    <w:rsid w:val="00A40D6F"/>
    <w:rsid w:val="00A40DEC"/>
    <w:rsid w:val="00A4108C"/>
    <w:rsid w:val="00A41599"/>
    <w:rsid w:val="00A42031"/>
    <w:rsid w:val="00A421A7"/>
    <w:rsid w:val="00A42231"/>
    <w:rsid w:val="00A42406"/>
    <w:rsid w:val="00A42594"/>
    <w:rsid w:val="00A42EEE"/>
    <w:rsid w:val="00A42FA4"/>
    <w:rsid w:val="00A4317B"/>
    <w:rsid w:val="00A435DB"/>
    <w:rsid w:val="00A43CD8"/>
    <w:rsid w:val="00A442D5"/>
    <w:rsid w:val="00A44380"/>
    <w:rsid w:val="00A44885"/>
    <w:rsid w:val="00A44B35"/>
    <w:rsid w:val="00A45109"/>
    <w:rsid w:val="00A452D4"/>
    <w:rsid w:val="00A454CE"/>
    <w:rsid w:val="00A456A1"/>
    <w:rsid w:val="00A46844"/>
    <w:rsid w:val="00A4707C"/>
    <w:rsid w:val="00A47093"/>
    <w:rsid w:val="00A47DF4"/>
    <w:rsid w:val="00A5059C"/>
    <w:rsid w:val="00A50A36"/>
    <w:rsid w:val="00A50AFE"/>
    <w:rsid w:val="00A50B17"/>
    <w:rsid w:val="00A512A5"/>
    <w:rsid w:val="00A51668"/>
    <w:rsid w:val="00A51788"/>
    <w:rsid w:val="00A518E5"/>
    <w:rsid w:val="00A5198B"/>
    <w:rsid w:val="00A51BD2"/>
    <w:rsid w:val="00A51F46"/>
    <w:rsid w:val="00A51FE0"/>
    <w:rsid w:val="00A5231B"/>
    <w:rsid w:val="00A52BEF"/>
    <w:rsid w:val="00A52DC8"/>
    <w:rsid w:val="00A52F41"/>
    <w:rsid w:val="00A54509"/>
    <w:rsid w:val="00A54948"/>
    <w:rsid w:val="00A54B3F"/>
    <w:rsid w:val="00A55F11"/>
    <w:rsid w:val="00A55F83"/>
    <w:rsid w:val="00A56907"/>
    <w:rsid w:val="00A56DB2"/>
    <w:rsid w:val="00A577C6"/>
    <w:rsid w:val="00A601B2"/>
    <w:rsid w:val="00A60451"/>
    <w:rsid w:val="00A6068B"/>
    <w:rsid w:val="00A607A3"/>
    <w:rsid w:val="00A60EDB"/>
    <w:rsid w:val="00A61149"/>
    <w:rsid w:val="00A61A32"/>
    <w:rsid w:val="00A6209E"/>
    <w:rsid w:val="00A62271"/>
    <w:rsid w:val="00A622D7"/>
    <w:rsid w:val="00A62A4F"/>
    <w:rsid w:val="00A62CF4"/>
    <w:rsid w:val="00A630C2"/>
    <w:rsid w:val="00A63215"/>
    <w:rsid w:val="00A634FC"/>
    <w:rsid w:val="00A6381E"/>
    <w:rsid w:val="00A63E71"/>
    <w:rsid w:val="00A63FFB"/>
    <w:rsid w:val="00A64467"/>
    <w:rsid w:val="00A6481A"/>
    <w:rsid w:val="00A64840"/>
    <w:rsid w:val="00A64D32"/>
    <w:rsid w:val="00A64E58"/>
    <w:rsid w:val="00A657F5"/>
    <w:rsid w:val="00A65BD8"/>
    <w:rsid w:val="00A65CAA"/>
    <w:rsid w:val="00A65DDF"/>
    <w:rsid w:val="00A65EC8"/>
    <w:rsid w:val="00A6603B"/>
    <w:rsid w:val="00A66202"/>
    <w:rsid w:val="00A669DC"/>
    <w:rsid w:val="00A66C92"/>
    <w:rsid w:val="00A671AE"/>
    <w:rsid w:val="00A67570"/>
    <w:rsid w:val="00A70526"/>
    <w:rsid w:val="00A707B1"/>
    <w:rsid w:val="00A707C9"/>
    <w:rsid w:val="00A712B4"/>
    <w:rsid w:val="00A713BD"/>
    <w:rsid w:val="00A71CBB"/>
    <w:rsid w:val="00A71E54"/>
    <w:rsid w:val="00A7223E"/>
    <w:rsid w:val="00A7230E"/>
    <w:rsid w:val="00A7269C"/>
    <w:rsid w:val="00A72719"/>
    <w:rsid w:val="00A72A35"/>
    <w:rsid w:val="00A72C10"/>
    <w:rsid w:val="00A72F34"/>
    <w:rsid w:val="00A7334C"/>
    <w:rsid w:val="00A735D3"/>
    <w:rsid w:val="00A73C27"/>
    <w:rsid w:val="00A73FA0"/>
    <w:rsid w:val="00A74657"/>
    <w:rsid w:val="00A750B2"/>
    <w:rsid w:val="00A753BA"/>
    <w:rsid w:val="00A7597E"/>
    <w:rsid w:val="00A75B2F"/>
    <w:rsid w:val="00A75D5B"/>
    <w:rsid w:val="00A75D7B"/>
    <w:rsid w:val="00A76182"/>
    <w:rsid w:val="00A76C6C"/>
    <w:rsid w:val="00A76F67"/>
    <w:rsid w:val="00A76F9A"/>
    <w:rsid w:val="00A772A0"/>
    <w:rsid w:val="00A77ADB"/>
    <w:rsid w:val="00A801B9"/>
    <w:rsid w:val="00A801E1"/>
    <w:rsid w:val="00A80334"/>
    <w:rsid w:val="00A80A91"/>
    <w:rsid w:val="00A8109D"/>
    <w:rsid w:val="00A81698"/>
    <w:rsid w:val="00A8196D"/>
    <w:rsid w:val="00A81FD6"/>
    <w:rsid w:val="00A82168"/>
    <w:rsid w:val="00A82556"/>
    <w:rsid w:val="00A82E73"/>
    <w:rsid w:val="00A839CC"/>
    <w:rsid w:val="00A83DEB"/>
    <w:rsid w:val="00A844C6"/>
    <w:rsid w:val="00A84573"/>
    <w:rsid w:val="00A847BD"/>
    <w:rsid w:val="00A848C5"/>
    <w:rsid w:val="00A8493D"/>
    <w:rsid w:val="00A84B77"/>
    <w:rsid w:val="00A84B8F"/>
    <w:rsid w:val="00A84BE1"/>
    <w:rsid w:val="00A85286"/>
    <w:rsid w:val="00A855B3"/>
    <w:rsid w:val="00A859E6"/>
    <w:rsid w:val="00A85A24"/>
    <w:rsid w:val="00A85AE8"/>
    <w:rsid w:val="00A860CA"/>
    <w:rsid w:val="00A86409"/>
    <w:rsid w:val="00A86708"/>
    <w:rsid w:val="00A86861"/>
    <w:rsid w:val="00A86B34"/>
    <w:rsid w:val="00A86F51"/>
    <w:rsid w:val="00A871A1"/>
    <w:rsid w:val="00A879E3"/>
    <w:rsid w:val="00A87B9B"/>
    <w:rsid w:val="00A9000F"/>
    <w:rsid w:val="00A90284"/>
    <w:rsid w:val="00A905B3"/>
    <w:rsid w:val="00A9090D"/>
    <w:rsid w:val="00A9090E"/>
    <w:rsid w:val="00A91117"/>
    <w:rsid w:val="00A91128"/>
    <w:rsid w:val="00A9116E"/>
    <w:rsid w:val="00A915D9"/>
    <w:rsid w:val="00A917CE"/>
    <w:rsid w:val="00A91A0C"/>
    <w:rsid w:val="00A91B34"/>
    <w:rsid w:val="00A922C7"/>
    <w:rsid w:val="00A9280E"/>
    <w:rsid w:val="00A92823"/>
    <w:rsid w:val="00A92EE3"/>
    <w:rsid w:val="00A93AF6"/>
    <w:rsid w:val="00A93B0A"/>
    <w:rsid w:val="00A93C83"/>
    <w:rsid w:val="00A93F61"/>
    <w:rsid w:val="00A94486"/>
    <w:rsid w:val="00A94D90"/>
    <w:rsid w:val="00A94E24"/>
    <w:rsid w:val="00A95181"/>
    <w:rsid w:val="00A956FA"/>
    <w:rsid w:val="00A9609E"/>
    <w:rsid w:val="00A9668F"/>
    <w:rsid w:val="00A96B13"/>
    <w:rsid w:val="00A96BE0"/>
    <w:rsid w:val="00A97720"/>
    <w:rsid w:val="00A97866"/>
    <w:rsid w:val="00A97F02"/>
    <w:rsid w:val="00AA042A"/>
    <w:rsid w:val="00AA0E38"/>
    <w:rsid w:val="00AA20FC"/>
    <w:rsid w:val="00AA2325"/>
    <w:rsid w:val="00AA23A4"/>
    <w:rsid w:val="00AA24C3"/>
    <w:rsid w:val="00AA251B"/>
    <w:rsid w:val="00AA2682"/>
    <w:rsid w:val="00AA2A1D"/>
    <w:rsid w:val="00AA2F1B"/>
    <w:rsid w:val="00AA37F9"/>
    <w:rsid w:val="00AA4372"/>
    <w:rsid w:val="00AA4462"/>
    <w:rsid w:val="00AA4DA4"/>
    <w:rsid w:val="00AA56B2"/>
    <w:rsid w:val="00AA623D"/>
    <w:rsid w:val="00AA6A25"/>
    <w:rsid w:val="00AA6A74"/>
    <w:rsid w:val="00AA7248"/>
    <w:rsid w:val="00AA7617"/>
    <w:rsid w:val="00AA7EAD"/>
    <w:rsid w:val="00AA7F28"/>
    <w:rsid w:val="00AB03EE"/>
    <w:rsid w:val="00AB06F7"/>
    <w:rsid w:val="00AB0976"/>
    <w:rsid w:val="00AB0B23"/>
    <w:rsid w:val="00AB0B9A"/>
    <w:rsid w:val="00AB0D45"/>
    <w:rsid w:val="00AB0F21"/>
    <w:rsid w:val="00AB1203"/>
    <w:rsid w:val="00AB12F6"/>
    <w:rsid w:val="00AB13F5"/>
    <w:rsid w:val="00AB15E8"/>
    <w:rsid w:val="00AB1907"/>
    <w:rsid w:val="00AB1F34"/>
    <w:rsid w:val="00AB2133"/>
    <w:rsid w:val="00AB2A6C"/>
    <w:rsid w:val="00AB2F77"/>
    <w:rsid w:val="00AB3219"/>
    <w:rsid w:val="00AB3750"/>
    <w:rsid w:val="00AB37F4"/>
    <w:rsid w:val="00AB391D"/>
    <w:rsid w:val="00AB3C18"/>
    <w:rsid w:val="00AB431D"/>
    <w:rsid w:val="00AB4848"/>
    <w:rsid w:val="00AB6292"/>
    <w:rsid w:val="00AB636D"/>
    <w:rsid w:val="00AB6E00"/>
    <w:rsid w:val="00AB6FF6"/>
    <w:rsid w:val="00AB70DA"/>
    <w:rsid w:val="00AB722A"/>
    <w:rsid w:val="00AB7388"/>
    <w:rsid w:val="00AB74AC"/>
    <w:rsid w:val="00AB7987"/>
    <w:rsid w:val="00AB79B4"/>
    <w:rsid w:val="00AB7BD1"/>
    <w:rsid w:val="00AB7F24"/>
    <w:rsid w:val="00AC0230"/>
    <w:rsid w:val="00AC0290"/>
    <w:rsid w:val="00AC029C"/>
    <w:rsid w:val="00AC07E3"/>
    <w:rsid w:val="00AC0B48"/>
    <w:rsid w:val="00AC0BF1"/>
    <w:rsid w:val="00AC0CAC"/>
    <w:rsid w:val="00AC0CF6"/>
    <w:rsid w:val="00AC0F1F"/>
    <w:rsid w:val="00AC1180"/>
    <w:rsid w:val="00AC150A"/>
    <w:rsid w:val="00AC170D"/>
    <w:rsid w:val="00AC1B93"/>
    <w:rsid w:val="00AC1C76"/>
    <w:rsid w:val="00AC1D49"/>
    <w:rsid w:val="00AC1DE5"/>
    <w:rsid w:val="00AC2A41"/>
    <w:rsid w:val="00AC2AC7"/>
    <w:rsid w:val="00AC2DDB"/>
    <w:rsid w:val="00AC305D"/>
    <w:rsid w:val="00AC308E"/>
    <w:rsid w:val="00AC30CF"/>
    <w:rsid w:val="00AC30D4"/>
    <w:rsid w:val="00AC3620"/>
    <w:rsid w:val="00AC367F"/>
    <w:rsid w:val="00AC369B"/>
    <w:rsid w:val="00AC3952"/>
    <w:rsid w:val="00AC3C1F"/>
    <w:rsid w:val="00AC3CAD"/>
    <w:rsid w:val="00AC3D14"/>
    <w:rsid w:val="00AC3DFF"/>
    <w:rsid w:val="00AC49B0"/>
    <w:rsid w:val="00AC4CF5"/>
    <w:rsid w:val="00AC4DAE"/>
    <w:rsid w:val="00AC4FD9"/>
    <w:rsid w:val="00AC535C"/>
    <w:rsid w:val="00AC5453"/>
    <w:rsid w:val="00AC56E4"/>
    <w:rsid w:val="00AC5C12"/>
    <w:rsid w:val="00AC5C26"/>
    <w:rsid w:val="00AC65B8"/>
    <w:rsid w:val="00AC74C3"/>
    <w:rsid w:val="00AC7BAB"/>
    <w:rsid w:val="00AC7CB0"/>
    <w:rsid w:val="00AC7E89"/>
    <w:rsid w:val="00AD05E7"/>
    <w:rsid w:val="00AD147D"/>
    <w:rsid w:val="00AD156C"/>
    <w:rsid w:val="00AD1764"/>
    <w:rsid w:val="00AD1792"/>
    <w:rsid w:val="00AD18C2"/>
    <w:rsid w:val="00AD2399"/>
    <w:rsid w:val="00AD2880"/>
    <w:rsid w:val="00AD2971"/>
    <w:rsid w:val="00AD2A5D"/>
    <w:rsid w:val="00AD2D92"/>
    <w:rsid w:val="00AD2EB0"/>
    <w:rsid w:val="00AD381B"/>
    <w:rsid w:val="00AD3C02"/>
    <w:rsid w:val="00AD3F56"/>
    <w:rsid w:val="00AD434F"/>
    <w:rsid w:val="00AD43E3"/>
    <w:rsid w:val="00AD4864"/>
    <w:rsid w:val="00AD4D28"/>
    <w:rsid w:val="00AD5239"/>
    <w:rsid w:val="00AD6248"/>
    <w:rsid w:val="00AD6451"/>
    <w:rsid w:val="00AD66EE"/>
    <w:rsid w:val="00AD67E1"/>
    <w:rsid w:val="00AD6C0F"/>
    <w:rsid w:val="00AD6FCD"/>
    <w:rsid w:val="00AD6FF7"/>
    <w:rsid w:val="00AD745B"/>
    <w:rsid w:val="00AD7891"/>
    <w:rsid w:val="00AD7C96"/>
    <w:rsid w:val="00AE0058"/>
    <w:rsid w:val="00AE0082"/>
    <w:rsid w:val="00AE0A78"/>
    <w:rsid w:val="00AE0C0F"/>
    <w:rsid w:val="00AE179E"/>
    <w:rsid w:val="00AE17F2"/>
    <w:rsid w:val="00AE183E"/>
    <w:rsid w:val="00AE1A71"/>
    <w:rsid w:val="00AE1B51"/>
    <w:rsid w:val="00AE1CB0"/>
    <w:rsid w:val="00AE1CC3"/>
    <w:rsid w:val="00AE23A6"/>
    <w:rsid w:val="00AE240F"/>
    <w:rsid w:val="00AE28CC"/>
    <w:rsid w:val="00AE2B3C"/>
    <w:rsid w:val="00AE2B53"/>
    <w:rsid w:val="00AE2E0A"/>
    <w:rsid w:val="00AE32B0"/>
    <w:rsid w:val="00AE372B"/>
    <w:rsid w:val="00AE3EC0"/>
    <w:rsid w:val="00AE4121"/>
    <w:rsid w:val="00AE49BC"/>
    <w:rsid w:val="00AE4C68"/>
    <w:rsid w:val="00AE4FAE"/>
    <w:rsid w:val="00AE530B"/>
    <w:rsid w:val="00AE5674"/>
    <w:rsid w:val="00AE582A"/>
    <w:rsid w:val="00AE5CDA"/>
    <w:rsid w:val="00AE5F6B"/>
    <w:rsid w:val="00AE7E72"/>
    <w:rsid w:val="00AF0CC3"/>
    <w:rsid w:val="00AF1241"/>
    <w:rsid w:val="00AF12CC"/>
    <w:rsid w:val="00AF1564"/>
    <w:rsid w:val="00AF1E68"/>
    <w:rsid w:val="00AF21C6"/>
    <w:rsid w:val="00AF2460"/>
    <w:rsid w:val="00AF25B9"/>
    <w:rsid w:val="00AF2C46"/>
    <w:rsid w:val="00AF2E9E"/>
    <w:rsid w:val="00AF34EC"/>
    <w:rsid w:val="00AF3C7A"/>
    <w:rsid w:val="00AF41C4"/>
    <w:rsid w:val="00AF433B"/>
    <w:rsid w:val="00AF457A"/>
    <w:rsid w:val="00AF4601"/>
    <w:rsid w:val="00AF49AE"/>
    <w:rsid w:val="00AF4B2D"/>
    <w:rsid w:val="00AF4BB7"/>
    <w:rsid w:val="00AF6811"/>
    <w:rsid w:val="00AF6971"/>
    <w:rsid w:val="00AF71F5"/>
    <w:rsid w:val="00AF7423"/>
    <w:rsid w:val="00AF7508"/>
    <w:rsid w:val="00AF7E87"/>
    <w:rsid w:val="00B0020E"/>
    <w:rsid w:val="00B00A79"/>
    <w:rsid w:val="00B00B8B"/>
    <w:rsid w:val="00B00BA2"/>
    <w:rsid w:val="00B00CA2"/>
    <w:rsid w:val="00B00E34"/>
    <w:rsid w:val="00B010D7"/>
    <w:rsid w:val="00B01BDA"/>
    <w:rsid w:val="00B022B4"/>
    <w:rsid w:val="00B02513"/>
    <w:rsid w:val="00B0292D"/>
    <w:rsid w:val="00B03391"/>
    <w:rsid w:val="00B03488"/>
    <w:rsid w:val="00B0351D"/>
    <w:rsid w:val="00B0389A"/>
    <w:rsid w:val="00B03A51"/>
    <w:rsid w:val="00B03A8A"/>
    <w:rsid w:val="00B04349"/>
    <w:rsid w:val="00B04512"/>
    <w:rsid w:val="00B04D02"/>
    <w:rsid w:val="00B0612E"/>
    <w:rsid w:val="00B06244"/>
    <w:rsid w:val="00B06246"/>
    <w:rsid w:val="00B06E86"/>
    <w:rsid w:val="00B0723E"/>
    <w:rsid w:val="00B072D4"/>
    <w:rsid w:val="00B072DC"/>
    <w:rsid w:val="00B0758F"/>
    <w:rsid w:val="00B07AC2"/>
    <w:rsid w:val="00B1004E"/>
    <w:rsid w:val="00B10705"/>
    <w:rsid w:val="00B10891"/>
    <w:rsid w:val="00B1153E"/>
    <w:rsid w:val="00B11581"/>
    <w:rsid w:val="00B12723"/>
    <w:rsid w:val="00B12863"/>
    <w:rsid w:val="00B12A02"/>
    <w:rsid w:val="00B12A18"/>
    <w:rsid w:val="00B13450"/>
    <w:rsid w:val="00B13478"/>
    <w:rsid w:val="00B141EB"/>
    <w:rsid w:val="00B143F5"/>
    <w:rsid w:val="00B14410"/>
    <w:rsid w:val="00B146D6"/>
    <w:rsid w:val="00B148A4"/>
    <w:rsid w:val="00B14E0F"/>
    <w:rsid w:val="00B14E8A"/>
    <w:rsid w:val="00B151B8"/>
    <w:rsid w:val="00B15389"/>
    <w:rsid w:val="00B15FA7"/>
    <w:rsid w:val="00B17038"/>
    <w:rsid w:val="00B1737F"/>
    <w:rsid w:val="00B17661"/>
    <w:rsid w:val="00B17E05"/>
    <w:rsid w:val="00B17F5A"/>
    <w:rsid w:val="00B2038C"/>
    <w:rsid w:val="00B208F4"/>
    <w:rsid w:val="00B20D45"/>
    <w:rsid w:val="00B21321"/>
    <w:rsid w:val="00B218B3"/>
    <w:rsid w:val="00B21E18"/>
    <w:rsid w:val="00B22166"/>
    <w:rsid w:val="00B22723"/>
    <w:rsid w:val="00B23141"/>
    <w:rsid w:val="00B231FC"/>
    <w:rsid w:val="00B235A8"/>
    <w:rsid w:val="00B23A38"/>
    <w:rsid w:val="00B23CAF"/>
    <w:rsid w:val="00B24BB9"/>
    <w:rsid w:val="00B2531C"/>
    <w:rsid w:val="00B26143"/>
    <w:rsid w:val="00B27112"/>
    <w:rsid w:val="00B2752C"/>
    <w:rsid w:val="00B275BF"/>
    <w:rsid w:val="00B27CA4"/>
    <w:rsid w:val="00B27D83"/>
    <w:rsid w:val="00B27F51"/>
    <w:rsid w:val="00B27F6B"/>
    <w:rsid w:val="00B27FE5"/>
    <w:rsid w:val="00B301E5"/>
    <w:rsid w:val="00B30655"/>
    <w:rsid w:val="00B30850"/>
    <w:rsid w:val="00B308FF"/>
    <w:rsid w:val="00B30C76"/>
    <w:rsid w:val="00B313A6"/>
    <w:rsid w:val="00B316F7"/>
    <w:rsid w:val="00B31B94"/>
    <w:rsid w:val="00B31CFE"/>
    <w:rsid w:val="00B32045"/>
    <w:rsid w:val="00B328F3"/>
    <w:rsid w:val="00B3305E"/>
    <w:rsid w:val="00B330D9"/>
    <w:rsid w:val="00B332B9"/>
    <w:rsid w:val="00B333FE"/>
    <w:rsid w:val="00B3372A"/>
    <w:rsid w:val="00B342F5"/>
    <w:rsid w:val="00B34316"/>
    <w:rsid w:val="00B34355"/>
    <w:rsid w:val="00B34392"/>
    <w:rsid w:val="00B34CB2"/>
    <w:rsid w:val="00B3514A"/>
    <w:rsid w:val="00B35BB6"/>
    <w:rsid w:val="00B35F0A"/>
    <w:rsid w:val="00B360FF"/>
    <w:rsid w:val="00B36537"/>
    <w:rsid w:val="00B36E89"/>
    <w:rsid w:val="00B36F6A"/>
    <w:rsid w:val="00B37674"/>
    <w:rsid w:val="00B37695"/>
    <w:rsid w:val="00B408DE"/>
    <w:rsid w:val="00B40D1D"/>
    <w:rsid w:val="00B41369"/>
    <w:rsid w:val="00B41474"/>
    <w:rsid w:val="00B41D49"/>
    <w:rsid w:val="00B41D4B"/>
    <w:rsid w:val="00B41E93"/>
    <w:rsid w:val="00B42540"/>
    <w:rsid w:val="00B427FF"/>
    <w:rsid w:val="00B42934"/>
    <w:rsid w:val="00B42FEF"/>
    <w:rsid w:val="00B4302E"/>
    <w:rsid w:val="00B43411"/>
    <w:rsid w:val="00B43B90"/>
    <w:rsid w:val="00B44330"/>
    <w:rsid w:val="00B44887"/>
    <w:rsid w:val="00B44B5F"/>
    <w:rsid w:val="00B44F15"/>
    <w:rsid w:val="00B455E6"/>
    <w:rsid w:val="00B457B8"/>
    <w:rsid w:val="00B45CDA"/>
    <w:rsid w:val="00B45CE4"/>
    <w:rsid w:val="00B46343"/>
    <w:rsid w:val="00B466BB"/>
    <w:rsid w:val="00B46F50"/>
    <w:rsid w:val="00B46FAF"/>
    <w:rsid w:val="00B47519"/>
    <w:rsid w:val="00B50461"/>
    <w:rsid w:val="00B50974"/>
    <w:rsid w:val="00B514C6"/>
    <w:rsid w:val="00B51BE4"/>
    <w:rsid w:val="00B51DBA"/>
    <w:rsid w:val="00B51E89"/>
    <w:rsid w:val="00B524B4"/>
    <w:rsid w:val="00B526CE"/>
    <w:rsid w:val="00B529C1"/>
    <w:rsid w:val="00B531A9"/>
    <w:rsid w:val="00B53A08"/>
    <w:rsid w:val="00B53AA0"/>
    <w:rsid w:val="00B53B3E"/>
    <w:rsid w:val="00B549C8"/>
    <w:rsid w:val="00B54FCE"/>
    <w:rsid w:val="00B54FF3"/>
    <w:rsid w:val="00B55241"/>
    <w:rsid w:val="00B55840"/>
    <w:rsid w:val="00B558B3"/>
    <w:rsid w:val="00B5650C"/>
    <w:rsid w:val="00B56DB0"/>
    <w:rsid w:val="00B56FE7"/>
    <w:rsid w:val="00B571C6"/>
    <w:rsid w:val="00B57439"/>
    <w:rsid w:val="00B5795A"/>
    <w:rsid w:val="00B57B09"/>
    <w:rsid w:val="00B57B1F"/>
    <w:rsid w:val="00B57F4C"/>
    <w:rsid w:val="00B57FCC"/>
    <w:rsid w:val="00B57FD4"/>
    <w:rsid w:val="00B6001B"/>
    <w:rsid w:val="00B6017F"/>
    <w:rsid w:val="00B60180"/>
    <w:rsid w:val="00B60191"/>
    <w:rsid w:val="00B60993"/>
    <w:rsid w:val="00B60B3D"/>
    <w:rsid w:val="00B61130"/>
    <w:rsid w:val="00B61243"/>
    <w:rsid w:val="00B618BB"/>
    <w:rsid w:val="00B61D2E"/>
    <w:rsid w:val="00B628D5"/>
    <w:rsid w:val="00B628DA"/>
    <w:rsid w:val="00B638C5"/>
    <w:rsid w:val="00B64005"/>
    <w:rsid w:val="00B64229"/>
    <w:rsid w:val="00B64BF9"/>
    <w:rsid w:val="00B64D92"/>
    <w:rsid w:val="00B6558C"/>
    <w:rsid w:val="00B655A7"/>
    <w:rsid w:val="00B65C64"/>
    <w:rsid w:val="00B6639C"/>
    <w:rsid w:val="00B66414"/>
    <w:rsid w:val="00B66A68"/>
    <w:rsid w:val="00B67A35"/>
    <w:rsid w:val="00B67ECD"/>
    <w:rsid w:val="00B7074B"/>
    <w:rsid w:val="00B70A52"/>
    <w:rsid w:val="00B70C22"/>
    <w:rsid w:val="00B70D3D"/>
    <w:rsid w:val="00B70DC6"/>
    <w:rsid w:val="00B71669"/>
    <w:rsid w:val="00B718AD"/>
    <w:rsid w:val="00B71908"/>
    <w:rsid w:val="00B71B2E"/>
    <w:rsid w:val="00B71C38"/>
    <w:rsid w:val="00B722EC"/>
    <w:rsid w:val="00B72688"/>
    <w:rsid w:val="00B7282D"/>
    <w:rsid w:val="00B729AB"/>
    <w:rsid w:val="00B72BB4"/>
    <w:rsid w:val="00B72BF5"/>
    <w:rsid w:val="00B72EE9"/>
    <w:rsid w:val="00B73758"/>
    <w:rsid w:val="00B73E44"/>
    <w:rsid w:val="00B74497"/>
    <w:rsid w:val="00B74501"/>
    <w:rsid w:val="00B745D9"/>
    <w:rsid w:val="00B74722"/>
    <w:rsid w:val="00B749D3"/>
    <w:rsid w:val="00B75880"/>
    <w:rsid w:val="00B75EAB"/>
    <w:rsid w:val="00B76459"/>
    <w:rsid w:val="00B76667"/>
    <w:rsid w:val="00B76BCF"/>
    <w:rsid w:val="00B76FE0"/>
    <w:rsid w:val="00B76FFA"/>
    <w:rsid w:val="00B773C6"/>
    <w:rsid w:val="00B77AFA"/>
    <w:rsid w:val="00B77D58"/>
    <w:rsid w:val="00B77F82"/>
    <w:rsid w:val="00B77FA1"/>
    <w:rsid w:val="00B80131"/>
    <w:rsid w:val="00B8018C"/>
    <w:rsid w:val="00B80258"/>
    <w:rsid w:val="00B808DD"/>
    <w:rsid w:val="00B8093E"/>
    <w:rsid w:val="00B80A1F"/>
    <w:rsid w:val="00B80C35"/>
    <w:rsid w:val="00B80F8C"/>
    <w:rsid w:val="00B8199B"/>
    <w:rsid w:val="00B81B79"/>
    <w:rsid w:val="00B81EA2"/>
    <w:rsid w:val="00B82082"/>
    <w:rsid w:val="00B8235C"/>
    <w:rsid w:val="00B83406"/>
    <w:rsid w:val="00B834BB"/>
    <w:rsid w:val="00B83761"/>
    <w:rsid w:val="00B837FB"/>
    <w:rsid w:val="00B83D4B"/>
    <w:rsid w:val="00B8400F"/>
    <w:rsid w:val="00B84049"/>
    <w:rsid w:val="00B84751"/>
    <w:rsid w:val="00B84C6E"/>
    <w:rsid w:val="00B85353"/>
    <w:rsid w:val="00B85A8C"/>
    <w:rsid w:val="00B85E6B"/>
    <w:rsid w:val="00B862E8"/>
    <w:rsid w:val="00B86403"/>
    <w:rsid w:val="00B8670F"/>
    <w:rsid w:val="00B86A3B"/>
    <w:rsid w:val="00B871DC"/>
    <w:rsid w:val="00B87522"/>
    <w:rsid w:val="00B8797C"/>
    <w:rsid w:val="00B90096"/>
    <w:rsid w:val="00B901DB"/>
    <w:rsid w:val="00B904A4"/>
    <w:rsid w:val="00B9069A"/>
    <w:rsid w:val="00B912D4"/>
    <w:rsid w:val="00B914F1"/>
    <w:rsid w:val="00B915E7"/>
    <w:rsid w:val="00B91A4E"/>
    <w:rsid w:val="00B91ED6"/>
    <w:rsid w:val="00B92282"/>
    <w:rsid w:val="00B92B5C"/>
    <w:rsid w:val="00B931C3"/>
    <w:rsid w:val="00B9325A"/>
    <w:rsid w:val="00B93556"/>
    <w:rsid w:val="00B941D6"/>
    <w:rsid w:val="00B943A8"/>
    <w:rsid w:val="00B945A1"/>
    <w:rsid w:val="00B945B0"/>
    <w:rsid w:val="00B94AFE"/>
    <w:rsid w:val="00B9514C"/>
    <w:rsid w:val="00B955FE"/>
    <w:rsid w:val="00B964F9"/>
    <w:rsid w:val="00B9650D"/>
    <w:rsid w:val="00B967F9"/>
    <w:rsid w:val="00B96BF1"/>
    <w:rsid w:val="00B96E82"/>
    <w:rsid w:val="00B96F84"/>
    <w:rsid w:val="00B97468"/>
    <w:rsid w:val="00B97595"/>
    <w:rsid w:val="00B97A21"/>
    <w:rsid w:val="00BA09CE"/>
    <w:rsid w:val="00BA0EC8"/>
    <w:rsid w:val="00BA113F"/>
    <w:rsid w:val="00BA11C4"/>
    <w:rsid w:val="00BA20DA"/>
    <w:rsid w:val="00BA294B"/>
    <w:rsid w:val="00BA2C0F"/>
    <w:rsid w:val="00BA336E"/>
    <w:rsid w:val="00BA34D3"/>
    <w:rsid w:val="00BA3531"/>
    <w:rsid w:val="00BA3670"/>
    <w:rsid w:val="00BA3983"/>
    <w:rsid w:val="00BA3A7D"/>
    <w:rsid w:val="00BA3AAA"/>
    <w:rsid w:val="00BA3DBB"/>
    <w:rsid w:val="00BA3FA3"/>
    <w:rsid w:val="00BA3FA6"/>
    <w:rsid w:val="00BA446D"/>
    <w:rsid w:val="00BA47C2"/>
    <w:rsid w:val="00BA4B97"/>
    <w:rsid w:val="00BA4F4F"/>
    <w:rsid w:val="00BA5265"/>
    <w:rsid w:val="00BA5331"/>
    <w:rsid w:val="00BA58D1"/>
    <w:rsid w:val="00BA62CE"/>
    <w:rsid w:val="00BA65A1"/>
    <w:rsid w:val="00BA69E7"/>
    <w:rsid w:val="00BA6B81"/>
    <w:rsid w:val="00BA6ED4"/>
    <w:rsid w:val="00BA6F07"/>
    <w:rsid w:val="00BA73F8"/>
    <w:rsid w:val="00BB0174"/>
    <w:rsid w:val="00BB0310"/>
    <w:rsid w:val="00BB09FC"/>
    <w:rsid w:val="00BB0A8E"/>
    <w:rsid w:val="00BB102F"/>
    <w:rsid w:val="00BB1469"/>
    <w:rsid w:val="00BB1DAA"/>
    <w:rsid w:val="00BB1EFB"/>
    <w:rsid w:val="00BB2384"/>
    <w:rsid w:val="00BB2BD4"/>
    <w:rsid w:val="00BB2D37"/>
    <w:rsid w:val="00BB320F"/>
    <w:rsid w:val="00BB32B3"/>
    <w:rsid w:val="00BB35EA"/>
    <w:rsid w:val="00BB3AA8"/>
    <w:rsid w:val="00BB3BF7"/>
    <w:rsid w:val="00BB4123"/>
    <w:rsid w:val="00BB446D"/>
    <w:rsid w:val="00BB44C2"/>
    <w:rsid w:val="00BB4C0E"/>
    <w:rsid w:val="00BB4D3E"/>
    <w:rsid w:val="00BB5012"/>
    <w:rsid w:val="00BB509F"/>
    <w:rsid w:val="00BB5135"/>
    <w:rsid w:val="00BB5300"/>
    <w:rsid w:val="00BB5528"/>
    <w:rsid w:val="00BB5767"/>
    <w:rsid w:val="00BB5851"/>
    <w:rsid w:val="00BB5B89"/>
    <w:rsid w:val="00BB635D"/>
    <w:rsid w:val="00BB63AB"/>
    <w:rsid w:val="00BB6A86"/>
    <w:rsid w:val="00BB6ADE"/>
    <w:rsid w:val="00BB733D"/>
    <w:rsid w:val="00BB772B"/>
    <w:rsid w:val="00BB7BCC"/>
    <w:rsid w:val="00BB7E90"/>
    <w:rsid w:val="00BC04DB"/>
    <w:rsid w:val="00BC05A9"/>
    <w:rsid w:val="00BC06A8"/>
    <w:rsid w:val="00BC14BB"/>
    <w:rsid w:val="00BC1F17"/>
    <w:rsid w:val="00BC25B8"/>
    <w:rsid w:val="00BC2985"/>
    <w:rsid w:val="00BC2B4F"/>
    <w:rsid w:val="00BC2B5F"/>
    <w:rsid w:val="00BC30C3"/>
    <w:rsid w:val="00BC3237"/>
    <w:rsid w:val="00BC3400"/>
    <w:rsid w:val="00BC3642"/>
    <w:rsid w:val="00BC3A49"/>
    <w:rsid w:val="00BC3DCD"/>
    <w:rsid w:val="00BC4103"/>
    <w:rsid w:val="00BC42DD"/>
    <w:rsid w:val="00BC4520"/>
    <w:rsid w:val="00BC4583"/>
    <w:rsid w:val="00BC49AC"/>
    <w:rsid w:val="00BC4A44"/>
    <w:rsid w:val="00BC4AD1"/>
    <w:rsid w:val="00BC5547"/>
    <w:rsid w:val="00BC55F2"/>
    <w:rsid w:val="00BC56CA"/>
    <w:rsid w:val="00BC5A39"/>
    <w:rsid w:val="00BC5F94"/>
    <w:rsid w:val="00BC66A0"/>
    <w:rsid w:val="00BC6712"/>
    <w:rsid w:val="00BC6749"/>
    <w:rsid w:val="00BC68D7"/>
    <w:rsid w:val="00BC6A6D"/>
    <w:rsid w:val="00BC6D4D"/>
    <w:rsid w:val="00BC70DC"/>
    <w:rsid w:val="00BC728C"/>
    <w:rsid w:val="00BC737A"/>
    <w:rsid w:val="00BC7469"/>
    <w:rsid w:val="00BC74B1"/>
    <w:rsid w:val="00BC7A9B"/>
    <w:rsid w:val="00BD0418"/>
    <w:rsid w:val="00BD0758"/>
    <w:rsid w:val="00BD0B48"/>
    <w:rsid w:val="00BD123E"/>
    <w:rsid w:val="00BD2590"/>
    <w:rsid w:val="00BD2814"/>
    <w:rsid w:val="00BD2967"/>
    <w:rsid w:val="00BD2D99"/>
    <w:rsid w:val="00BD2F2F"/>
    <w:rsid w:val="00BD40F9"/>
    <w:rsid w:val="00BD4698"/>
    <w:rsid w:val="00BD50E8"/>
    <w:rsid w:val="00BD51F3"/>
    <w:rsid w:val="00BD599C"/>
    <w:rsid w:val="00BD5E65"/>
    <w:rsid w:val="00BD610E"/>
    <w:rsid w:val="00BD6195"/>
    <w:rsid w:val="00BD625B"/>
    <w:rsid w:val="00BD63F0"/>
    <w:rsid w:val="00BD6CB9"/>
    <w:rsid w:val="00BD700A"/>
    <w:rsid w:val="00BD7664"/>
    <w:rsid w:val="00BD7BCB"/>
    <w:rsid w:val="00BD7E42"/>
    <w:rsid w:val="00BD7F14"/>
    <w:rsid w:val="00BE013D"/>
    <w:rsid w:val="00BE0689"/>
    <w:rsid w:val="00BE0CEF"/>
    <w:rsid w:val="00BE1443"/>
    <w:rsid w:val="00BE1B0C"/>
    <w:rsid w:val="00BE1BA4"/>
    <w:rsid w:val="00BE25A5"/>
    <w:rsid w:val="00BE25EA"/>
    <w:rsid w:val="00BE28D5"/>
    <w:rsid w:val="00BE29EC"/>
    <w:rsid w:val="00BE309B"/>
    <w:rsid w:val="00BE3296"/>
    <w:rsid w:val="00BE332A"/>
    <w:rsid w:val="00BE34C2"/>
    <w:rsid w:val="00BE3E1E"/>
    <w:rsid w:val="00BE3F7E"/>
    <w:rsid w:val="00BE401B"/>
    <w:rsid w:val="00BE40F1"/>
    <w:rsid w:val="00BE43BF"/>
    <w:rsid w:val="00BE475B"/>
    <w:rsid w:val="00BE4CEE"/>
    <w:rsid w:val="00BE4D52"/>
    <w:rsid w:val="00BE532D"/>
    <w:rsid w:val="00BE6633"/>
    <w:rsid w:val="00BE6C51"/>
    <w:rsid w:val="00BE6FAE"/>
    <w:rsid w:val="00BE7869"/>
    <w:rsid w:val="00BE7BD0"/>
    <w:rsid w:val="00BE7E48"/>
    <w:rsid w:val="00BF0138"/>
    <w:rsid w:val="00BF08B9"/>
    <w:rsid w:val="00BF0AF6"/>
    <w:rsid w:val="00BF155D"/>
    <w:rsid w:val="00BF1800"/>
    <w:rsid w:val="00BF1CAE"/>
    <w:rsid w:val="00BF1DF9"/>
    <w:rsid w:val="00BF1F39"/>
    <w:rsid w:val="00BF1F91"/>
    <w:rsid w:val="00BF2213"/>
    <w:rsid w:val="00BF243C"/>
    <w:rsid w:val="00BF2E19"/>
    <w:rsid w:val="00BF2E1C"/>
    <w:rsid w:val="00BF3367"/>
    <w:rsid w:val="00BF336B"/>
    <w:rsid w:val="00BF3493"/>
    <w:rsid w:val="00BF3521"/>
    <w:rsid w:val="00BF3777"/>
    <w:rsid w:val="00BF3C2F"/>
    <w:rsid w:val="00BF40B8"/>
    <w:rsid w:val="00BF414E"/>
    <w:rsid w:val="00BF4248"/>
    <w:rsid w:val="00BF47B6"/>
    <w:rsid w:val="00BF582D"/>
    <w:rsid w:val="00BF61FD"/>
    <w:rsid w:val="00BF628A"/>
    <w:rsid w:val="00BF62B5"/>
    <w:rsid w:val="00BF62DD"/>
    <w:rsid w:val="00BF638A"/>
    <w:rsid w:val="00BF65BD"/>
    <w:rsid w:val="00BF6985"/>
    <w:rsid w:val="00BF6D24"/>
    <w:rsid w:val="00BF734E"/>
    <w:rsid w:val="00BF75F4"/>
    <w:rsid w:val="00BF7A14"/>
    <w:rsid w:val="00BF7E97"/>
    <w:rsid w:val="00C00137"/>
    <w:rsid w:val="00C0044C"/>
    <w:rsid w:val="00C005F7"/>
    <w:rsid w:val="00C00C4F"/>
    <w:rsid w:val="00C00D76"/>
    <w:rsid w:val="00C01698"/>
    <w:rsid w:val="00C01C83"/>
    <w:rsid w:val="00C01D5B"/>
    <w:rsid w:val="00C02751"/>
    <w:rsid w:val="00C0279C"/>
    <w:rsid w:val="00C02B32"/>
    <w:rsid w:val="00C02BB3"/>
    <w:rsid w:val="00C02CDD"/>
    <w:rsid w:val="00C037A8"/>
    <w:rsid w:val="00C03F81"/>
    <w:rsid w:val="00C040E5"/>
    <w:rsid w:val="00C04203"/>
    <w:rsid w:val="00C04617"/>
    <w:rsid w:val="00C0480B"/>
    <w:rsid w:val="00C05832"/>
    <w:rsid w:val="00C05968"/>
    <w:rsid w:val="00C05C4F"/>
    <w:rsid w:val="00C062AC"/>
    <w:rsid w:val="00C06CA3"/>
    <w:rsid w:val="00C06EF2"/>
    <w:rsid w:val="00C077EA"/>
    <w:rsid w:val="00C07FF8"/>
    <w:rsid w:val="00C10357"/>
    <w:rsid w:val="00C10D7E"/>
    <w:rsid w:val="00C1102E"/>
    <w:rsid w:val="00C11FAC"/>
    <w:rsid w:val="00C12181"/>
    <w:rsid w:val="00C1274E"/>
    <w:rsid w:val="00C13963"/>
    <w:rsid w:val="00C13D33"/>
    <w:rsid w:val="00C140B2"/>
    <w:rsid w:val="00C14777"/>
    <w:rsid w:val="00C14931"/>
    <w:rsid w:val="00C14A15"/>
    <w:rsid w:val="00C15389"/>
    <w:rsid w:val="00C15B89"/>
    <w:rsid w:val="00C15E3E"/>
    <w:rsid w:val="00C15E87"/>
    <w:rsid w:val="00C1607C"/>
    <w:rsid w:val="00C165D7"/>
    <w:rsid w:val="00C16796"/>
    <w:rsid w:val="00C16A48"/>
    <w:rsid w:val="00C16CDE"/>
    <w:rsid w:val="00C16EC1"/>
    <w:rsid w:val="00C171EE"/>
    <w:rsid w:val="00C17DB0"/>
    <w:rsid w:val="00C17E08"/>
    <w:rsid w:val="00C17E2B"/>
    <w:rsid w:val="00C2004F"/>
    <w:rsid w:val="00C208DD"/>
    <w:rsid w:val="00C20AA6"/>
    <w:rsid w:val="00C20F09"/>
    <w:rsid w:val="00C20FF3"/>
    <w:rsid w:val="00C21278"/>
    <w:rsid w:val="00C2133B"/>
    <w:rsid w:val="00C213A5"/>
    <w:rsid w:val="00C213DB"/>
    <w:rsid w:val="00C21437"/>
    <w:rsid w:val="00C21707"/>
    <w:rsid w:val="00C2174B"/>
    <w:rsid w:val="00C21CD8"/>
    <w:rsid w:val="00C2289A"/>
    <w:rsid w:val="00C2301B"/>
    <w:rsid w:val="00C23140"/>
    <w:rsid w:val="00C23577"/>
    <w:rsid w:val="00C23942"/>
    <w:rsid w:val="00C23AFB"/>
    <w:rsid w:val="00C23B83"/>
    <w:rsid w:val="00C23D82"/>
    <w:rsid w:val="00C24224"/>
    <w:rsid w:val="00C24361"/>
    <w:rsid w:val="00C244B4"/>
    <w:rsid w:val="00C25515"/>
    <w:rsid w:val="00C25ABA"/>
    <w:rsid w:val="00C25D30"/>
    <w:rsid w:val="00C26045"/>
    <w:rsid w:val="00C2610C"/>
    <w:rsid w:val="00C26478"/>
    <w:rsid w:val="00C27D73"/>
    <w:rsid w:val="00C27DF2"/>
    <w:rsid w:val="00C302E1"/>
    <w:rsid w:val="00C3043D"/>
    <w:rsid w:val="00C30537"/>
    <w:rsid w:val="00C30E42"/>
    <w:rsid w:val="00C310C4"/>
    <w:rsid w:val="00C311FF"/>
    <w:rsid w:val="00C31283"/>
    <w:rsid w:val="00C31D76"/>
    <w:rsid w:val="00C3233D"/>
    <w:rsid w:val="00C326FC"/>
    <w:rsid w:val="00C334C2"/>
    <w:rsid w:val="00C335DE"/>
    <w:rsid w:val="00C3367E"/>
    <w:rsid w:val="00C337C7"/>
    <w:rsid w:val="00C33E6B"/>
    <w:rsid w:val="00C33FBA"/>
    <w:rsid w:val="00C33FCE"/>
    <w:rsid w:val="00C3405C"/>
    <w:rsid w:val="00C34590"/>
    <w:rsid w:val="00C349C2"/>
    <w:rsid w:val="00C36F68"/>
    <w:rsid w:val="00C37150"/>
    <w:rsid w:val="00C37742"/>
    <w:rsid w:val="00C37E86"/>
    <w:rsid w:val="00C40098"/>
    <w:rsid w:val="00C40371"/>
    <w:rsid w:val="00C41217"/>
    <w:rsid w:val="00C41291"/>
    <w:rsid w:val="00C41AE5"/>
    <w:rsid w:val="00C41D74"/>
    <w:rsid w:val="00C41F38"/>
    <w:rsid w:val="00C4221C"/>
    <w:rsid w:val="00C422F2"/>
    <w:rsid w:val="00C42690"/>
    <w:rsid w:val="00C42755"/>
    <w:rsid w:val="00C42BD5"/>
    <w:rsid w:val="00C42C4C"/>
    <w:rsid w:val="00C42EF7"/>
    <w:rsid w:val="00C438F1"/>
    <w:rsid w:val="00C4393C"/>
    <w:rsid w:val="00C43BFB"/>
    <w:rsid w:val="00C43CAB"/>
    <w:rsid w:val="00C43DD3"/>
    <w:rsid w:val="00C440A6"/>
    <w:rsid w:val="00C44173"/>
    <w:rsid w:val="00C444C4"/>
    <w:rsid w:val="00C44773"/>
    <w:rsid w:val="00C4485A"/>
    <w:rsid w:val="00C455D9"/>
    <w:rsid w:val="00C45897"/>
    <w:rsid w:val="00C45DDB"/>
    <w:rsid w:val="00C4619C"/>
    <w:rsid w:val="00C46590"/>
    <w:rsid w:val="00C46980"/>
    <w:rsid w:val="00C46BA0"/>
    <w:rsid w:val="00C46D20"/>
    <w:rsid w:val="00C46EC7"/>
    <w:rsid w:val="00C46F0C"/>
    <w:rsid w:val="00C46F92"/>
    <w:rsid w:val="00C47135"/>
    <w:rsid w:val="00C47E2C"/>
    <w:rsid w:val="00C47F83"/>
    <w:rsid w:val="00C51022"/>
    <w:rsid w:val="00C514A4"/>
    <w:rsid w:val="00C51A3C"/>
    <w:rsid w:val="00C51C55"/>
    <w:rsid w:val="00C52135"/>
    <w:rsid w:val="00C52314"/>
    <w:rsid w:val="00C5238B"/>
    <w:rsid w:val="00C5379D"/>
    <w:rsid w:val="00C53A0D"/>
    <w:rsid w:val="00C53E46"/>
    <w:rsid w:val="00C53F3D"/>
    <w:rsid w:val="00C544CA"/>
    <w:rsid w:val="00C54AD9"/>
    <w:rsid w:val="00C54C0C"/>
    <w:rsid w:val="00C54E8C"/>
    <w:rsid w:val="00C54EF9"/>
    <w:rsid w:val="00C55225"/>
    <w:rsid w:val="00C55294"/>
    <w:rsid w:val="00C557A0"/>
    <w:rsid w:val="00C55A95"/>
    <w:rsid w:val="00C55BE7"/>
    <w:rsid w:val="00C55CAC"/>
    <w:rsid w:val="00C55F4F"/>
    <w:rsid w:val="00C560DA"/>
    <w:rsid w:val="00C563A2"/>
    <w:rsid w:val="00C5677C"/>
    <w:rsid w:val="00C567EC"/>
    <w:rsid w:val="00C57307"/>
    <w:rsid w:val="00C60333"/>
    <w:rsid w:val="00C603B9"/>
    <w:rsid w:val="00C6083C"/>
    <w:rsid w:val="00C60F82"/>
    <w:rsid w:val="00C61CC8"/>
    <w:rsid w:val="00C6281F"/>
    <w:rsid w:val="00C6289A"/>
    <w:rsid w:val="00C629A2"/>
    <w:rsid w:val="00C62A3C"/>
    <w:rsid w:val="00C62F98"/>
    <w:rsid w:val="00C63B89"/>
    <w:rsid w:val="00C63D07"/>
    <w:rsid w:val="00C643FD"/>
    <w:rsid w:val="00C64467"/>
    <w:rsid w:val="00C64926"/>
    <w:rsid w:val="00C64BDB"/>
    <w:rsid w:val="00C65371"/>
    <w:rsid w:val="00C65AE9"/>
    <w:rsid w:val="00C65D7D"/>
    <w:rsid w:val="00C663C8"/>
    <w:rsid w:val="00C669D6"/>
    <w:rsid w:val="00C66CAF"/>
    <w:rsid w:val="00C671BE"/>
    <w:rsid w:val="00C678CA"/>
    <w:rsid w:val="00C67F2D"/>
    <w:rsid w:val="00C67F60"/>
    <w:rsid w:val="00C70245"/>
    <w:rsid w:val="00C70715"/>
    <w:rsid w:val="00C7071D"/>
    <w:rsid w:val="00C709EB"/>
    <w:rsid w:val="00C70CAA"/>
    <w:rsid w:val="00C70EBB"/>
    <w:rsid w:val="00C70F07"/>
    <w:rsid w:val="00C70FF5"/>
    <w:rsid w:val="00C71473"/>
    <w:rsid w:val="00C71B0D"/>
    <w:rsid w:val="00C7294A"/>
    <w:rsid w:val="00C729B9"/>
    <w:rsid w:val="00C72C25"/>
    <w:rsid w:val="00C73968"/>
    <w:rsid w:val="00C73CCF"/>
    <w:rsid w:val="00C7420B"/>
    <w:rsid w:val="00C7438B"/>
    <w:rsid w:val="00C74681"/>
    <w:rsid w:val="00C74F23"/>
    <w:rsid w:val="00C75EE5"/>
    <w:rsid w:val="00C7608F"/>
    <w:rsid w:val="00C76CE1"/>
    <w:rsid w:val="00C76E01"/>
    <w:rsid w:val="00C77488"/>
    <w:rsid w:val="00C77C55"/>
    <w:rsid w:val="00C807DF"/>
    <w:rsid w:val="00C80BE4"/>
    <w:rsid w:val="00C80C80"/>
    <w:rsid w:val="00C810E1"/>
    <w:rsid w:val="00C81854"/>
    <w:rsid w:val="00C81B44"/>
    <w:rsid w:val="00C81C96"/>
    <w:rsid w:val="00C81DAC"/>
    <w:rsid w:val="00C81E7D"/>
    <w:rsid w:val="00C81F49"/>
    <w:rsid w:val="00C8224F"/>
    <w:rsid w:val="00C82CC8"/>
    <w:rsid w:val="00C830EC"/>
    <w:rsid w:val="00C833A7"/>
    <w:rsid w:val="00C83849"/>
    <w:rsid w:val="00C83A35"/>
    <w:rsid w:val="00C83A95"/>
    <w:rsid w:val="00C83CEB"/>
    <w:rsid w:val="00C83D68"/>
    <w:rsid w:val="00C848F7"/>
    <w:rsid w:val="00C84A79"/>
    <w:rsid w:val="00C855A9"/>
    <w:rsid w:val="00C859F5"/>
    <w:rsid w:val="00C85AFE"/>
    <w:rsid w:val="00C85E7C"/>
    <w:rsid w:val="00C86D17"/>
    <w:rsid w:val="00C86DA8"/>
    <w:rsid w:val="00C86E02"/>
    <w:rsid w:val="00C8705E"/>
    <w:rsid w:val="00C8768E"/>
    <w:rsid w:val="00C8788C"/>
    <w:rsid w:val="00C878AB"/>
    <w:rsid w:val="00C878BF"/>
    <w:rsid w:val="00C87A1D"/>
    <w:rsid w:val="00C87A96"/>
    <w:rsid w:val="00C90882"/>
    <w:rsid w:val="00C90A92"/>
    <w:rsid w:val="00C91F62"/>
    <w:rsid w:val="00C92BC4"/>
    <w:rsid w:val="00C93058"/>
    <w:rsid w:val="00C9305A"/>
    <w:rsid w:val="00C9369F"/>
    <w:rsid w:val="00C93937"/>
    <w:rsid w:val="00C93AB6"/>
    <w:rsid w:val="00C93BED"/>
    <w:rsid w:val="00C93FD9"/>
    <w:rsid w:val="00C94022"/>
    <w:rsid w:val="00C9403B"/>
    <w:rsid w:val="00C94077"/>
    <w:rsid w:val="00C9451B"/>
    <w:rsid w:val="00C94B46"/>
    <w:rsid w:val="00C95254"/>
    <w:rsid w:val="00C958B2"/>
    <w:rsid w:val="00C95D11"/>
    <w:rsid w:val="00C9642E"/>
    <w:rsid w:val="00C96C94"/>
    <w:rsid w:val="00C96F5C"/>
    <w:rsid w:val="00C976D5"/>
    <w:rsid w:val="00C97774"/>
    <w:rsid w:val="00C977C7"/>
    <w:rsid w:val="00C9783D"/>
    <w:rsid w:val="00C97FF0"/>
    <w:rsid w:val="00CA069C"/>
    <w:rsid w:val="00CA0875"/>
    <w:rsid w:val="00CA0B1F"/>
    <w:rsid w:val="00CA0FEC"/>
    <w:rsid w:val="00CA1144"/>
    <w:rsid w:val="00CA1450"/>
    <w:rsid w:val="00CA163E"/>
    <w:rsid w:val="00CA1AEA"/>
    <w:rsid w:val="00CA1DDA"/>
    <w:rsid w:val="00CA2180"/>
    <w:rsid w:val="00CA2E5B"/>
    <w:rsid w:val="00CA31FD"/>
    <w:rsid w:val="00CA33F4"/>
    <w:rsid w:val="00CA3CCA"/>
    <w:rsid w:val="00CA4BDD"/>
    <w:rsid w:val="00CA4D02"/>
    <w:rsid w:val="00CA4F1B"/>
    <w:rsid w:val="00CA55A7"/>
    <w:rsid w:val="00CA5C9F"/>
    <w:rsid w:val="00CA6C95"/>
    <w:rsid w:val="00CA7302"/>
    <w:rsid w:val="00CA7320"/>
    <w:rsid w:val="00CA77A5"/>
    <w:rsid w:val="00CA7A8E"/>
    <w:rsid w:val="00CA7FB1"/>
    <w:rsid w:val="00CB089F"/>
    <w:rsid w:val="00CB08E7"/>
    <w:rsid w:val="00CB0E86"/>
    <w:rsid w:val="00CB26D1"/>
    <w:rsid w:val="00CB2A4E"/>
    <w:rsid w:val="00CB2BA2"/>
    <w:rsid w:val="00CB39EB"/>
    <w:rsid w:val="00CB3B96"/>
    <w:rsid w:val="00CB3D59"/>
    <w:rsid w:val="00CB3F8C"/>
    <w:rsid w:val="00CB433A"/>
    <w:rsid w:val="00CB4C07"/>
    <w:rsid w:val="00CB4E23"/>
    <w:rsid w:val="00CB51DA"/>
    <w:rsid w:val="00CB567C"/>
    <w:rsid w:val="00CB56E4"/>
    <w:rsid w:val="00CB5E84"/>
    <w:rsid w:val="00CB6DAD"/>
    <w:rsid w:val="00CB6FC1"/>
    <w:rsid w:val="00CB7BB0"/>
    <w:rsid w:val="00CB7C43"/>
    <w:rsid w:val="00CC020C"/>
    <w:rsid w:val="00CC07F6"/>
    <w:rsid w:val="00CC0FDC"/>
    <w:rsid w:val="00CC1001"/>
    <w:rsid w:val="00CC13B7"/>
    <w:rsid w:val="00CC15B7"/>
    <w:rsid w:val="00CC1B19"/>
    <w:rsid w:val="00CC1CBB"/>
    <w:rsid w:val="00CC1DD1"/>
    <w:rsid w:val="00CC2004"/>
    <w:rsid w:val="00CC21AA"/>
    <w:rsid w:val="00CC28DB"/>
    <w:rsid w:val="00CC3713"/>
    <w:rsid w:val="00CC3ADF"/>
    <w:rsid w:val="00CC3C61"/>
    <w:rsid w:val="00CC45F9"/>
    <w:rsid w:val="00CC4828"/>
    <w:rsid w:val="00CC4894"/>
    <w:rsid w:val="00CC527D"/>
    <w:rsid w:val="00CC5DBC"/>
    <w:rsid w:val="00CC60E3"/>
    <w:rsid w:val="00CC65AB"/>
    <w:rsid w:val="00CC66A3"/>
    <w:rsid w:val="00CC695C"/>
    <w:rsid w:val="00CC7157"/>
    <w:rsid w:val="00CC736B"/>
    <w:rsid w:val="00CC7B4F"/>
    <w:rsid w:val="00CD01FB"/>
    <w:rsid w:val="00CD07FC"/>
    <w:rsid w:val="00CD0A04"/>
    <w:rsid w:val="00CD0AA7"/>
    <w:rsid w:val="00CD0AF2"/>
    <w:rsid w:val="00CD1425"/>
    <w:rsid w:val="00CD2325"/>
    <w:rsid w:val="00CD27A0"/>
    <w:rsid w:val="00CD28FA"/>
    <w:rsid w:val="00CD2A86"/>
    <w:rsid w:val="00CD2D3D"/>
    <w:rsid w:val="00CD35BB"/>
    <w:rsid w:val="00CD3ACC"/>
    <w:rsid w:val="00CD43BB"/>
    <w:rsid w:val="00CD464A"/>
    <w:rsid w:val="00CD4659"/>
    <w:rsid w:val="00CD4830"/>
    <w:rsid w:val="00CD4F8F"/>
    <w:rsid w:val="00CD507F"/>
    <w:rsid w:val="00CD51D6"/>
    <w:rsid w:val="00CD547B"/>
    <w:rsid w:val="00CD5B67"/>
    <w:rsid w:val="00CD5F91"/>
    <w:rsid w:val="00CD6009"/>
    <w:rsid w:val="00CD6056"/>
    <w:rsid w:val="00CD61AD"/>
    <w:rsid w:val="00CD653E"/>
    <w:rsid w:val="00CD6A96"/>
    <w:rsid w:val="00CD6BF7"/>
    <w:rsid w:val="00CD74F6"/>
    <w:rsid w:val="00CE081C"/>
    <w:rsid w:val="00CE1059"/>
    <w:rsid w:val="00CE114D"/>
    <w:rsid w:val="00CE1398"/>
    <w:rsid w:val="00CE1494"/>
    <w:rsid w:val="00CE163E"/>
    <w:rsid w:val="00CE1AAE"/>
    <w:rsid w:val="00CE214E"/>
    <w:rsid w:val="00CE225A"/>
    <w:rsid w:val="00CE23FE"/>
    <w:rsid w:val="00CE279C"/>
    <w:rsid w:val="00CE29D3"/>
    <w:rsid w:val="00CE2BC7"/>
    <w:rsid w:val="00CE2C3A"/>
    <w:rsid w:val="00CE30B5"/>
    <w:rsid w:val="00CE32AF"/>
    <w:rsid w:val="00CE3549"/>
    <w:rsid w:val="00CE3A90"/>
    <w:rsid w:val="00CE4A91"/>
    <w:rsid w:val="00CE4CA8"/>
    <w:rsid w:val="00CE4F6B"/>
    <w:rsid w:val="00CE57B7"/>
    <w:rsid w:val="00CE5A38"/>
    <w:rsid w:val="00CE6026"/>
    <w:rsid w:val="00CE6198"/>
    <w:rsid w:val="00CE619E"/>
    <w:rsid w:val="00CE6490"/>
    <w:rsid w:val="00CE65D7"/>
    <w:rsid w:val="00CE66D0"/>
    <w:rsid w:val="00CE6725"/>
    <w:rsid w:val="00CE6A78"/>
    <w:rsid w:val="00CE723E"/>
    <w:rsid w:val="00CE7526"/>
    <w:rsid w:val="00CE7A37"/>
    <w:rsid w:val="00CE7BB2"/>
    <w:rsid w:val="00CE7E37"/>
    <w:rsid w:val="00CF0361"/>
    <w:rsid w:val="00CF0406"/>
    <w:rsid w:val="00CF0624"/>
    <w:rsid w:val="00CF1615"/>
    <w:rsid w:val="00CF1736"/>
    <w:rsid w:val="00CF19AA"/>
    <w:rsid w:val="00CF1F6C"/>
    <w:rsid w:val="00CF2146"/>
    <w:rsid w:val="00CF25F4"/>
    <w:rsid w:val="00CF2748"/>
    <w:rsid w:val="00CF298C"/>
    <w:rsid w:val="00CF2F2B"/>
    <w:rsid w:val="00CF2F6B"/>
    <w:rsid w:val="00CF3418"/>
    <w:rsid w:val="00CF388C"/>
    <w:rsid w:val="00CF3ACB"/>
    <w:rsid w:val="00CF3B7F"/>
    <w:rsid w:val="00CF42F1"/>
    <w:rsid w:val="00CF43BD"/>
    <w:rsid w:val="00CF54FE"/>
    <w:rsid w:val="00CF5E9A"/>
    <w:rsid w:val="00CF67E8"/>
    <w:rsid w:val="00CF68F3"/>
    <w:rsid w:val="00CF6A0B"/>
    <w:rsid w:val="00CF6F94"/>
    <w:rsid w:val="00CF7EF2"/>
    <w:rsid w:val="00D0020F"/>
    <w:rsid w:val="00D006D4"/>
    <w:rsid w:val="00D00AAE"/>
    <w:rsid w:val="00D00BEC"/>
    <w:rsid w:val="00D00C40"/>
    <w:rsid w:val="00D00E05"/>
    <w:rsid w:val="00D00E7E"/>
    <w:rsid w:val="00D013FD"/>
    <w:rsid w:val="00D01E05"/>
    <w:rsid w:val="00D01FE8"/>
    <w:rsid w:val="00D0333F"/>
    <w:rsid w:val="00D036F9"/>
    <w:rsid w:val="00D037CF"/>
    <w:rsid w:val="00D03EB1"/>
    <w:rsid w:val="00D046E5"/>
    <w:rsid w:val="00D05315"/>
    <w:rsid w:val="00D054A7"/>
    <w:rsid w:val="00D055F9"/>
    <w:rsid w:val="00D05671"/>
    <w:rsid w:val="00D05A63"/>
    <w:rsid w:val="00D064C8"/>
    <w:rsid w:val="00D064D6"/>
    <w:rsid w:val="00D065CF"/>
    <w:rsid w:val="00D06D45"/>
    <w:rsid w:val="00D06E60"/>
    <w:rsid w:val="00D10A2E"/>
    <w:rsid w:val="00D10AFF"/>
    <w:rsid w:val="00D10DD8"/>
    <w:rsid w:val="00D114F8"/>
    <w:rsid w:val="00D115E2"/>
    <w:rsid w:val="00D11C33"/>
    <w:rsid w:val="00D11D7A"/>
    <w:rsid w:val="00D12294"/>
    <w:rsid w:val="00D1293A"/>
    <w:rsid w:val="00D1365A"/>
    <w:rsid w:val="00D13864"/>
    <w:rsid w:val="00D13BC7"/>
    <w:rsid w:val="00D13C00"/>
    <w:rsid w:val="00D1410A"/>
    <w:rsid w:val="00D1455C"/>
    <w:rsid w:val="00D149E7"/>
    <w:rsid w:val="00D14C20"/>
    <w:rsid w:val="00D152AE"/>
    <w:rsid w:val="00D15421"/>
    <w:rsid w:val="00D15872"/>
    <w:rsid w:val="00D15D99"/>
    <w:rsid w:val="00D15EFC"/>
    <w:rsid w:val="00D15F9A"/>
    <w:rsid w:val="00D161C5"/>
    <w:rsid w:val="00D163C7"/>
    <w:rsid w:val="00D167E5"/>
    <w:rsid w:val="00D16996"/>
    <w:rsid w:val="00D16B23"/>
    <w:rsid w:val="00D16D4E"/>
    <w:rsid w:val="00D16E52"/>
    <w:rsid w:val="00D1700E"/>
    <w:rsid w:val="00D171BC"/>
    <w:rsid w:val="00D17839"/>
    <w:rsid w:val="00D17A0E"/>
    <w:rsid w:val="00D17ED7"/>
    <w:rsid w:val="00D17F78"/>
    <w:rsid w:val="00D206B8"/>
    <w:rsid w:val="00D20790"/>
    <w:rsid w:val="00D20A17"/>
    <w:rsid w:val="00D20AF8"/>
    <w:rsid w:val="00D20F80"/>
    <w:rsid w:val="00D21677"/>
    <w:rsid w:val="00D21BB4"/>
    <w:rsid w:val="00D21E74"/>
    <w:rsid w:val="00D2261D"/>
    <w:rsid w:val="00D2313A"/>
    <w:rsid w:val="00D23411"/>
    <w:rsid w:val="00D2366A"/>
    <w:rsid w:val="00D23AFB"/>
    <w:rsid w:val="00D23BF1"/>
    <w:rsid w:val="00D24703"/>
    <w:rsid w:val="00D24B52"/>
    <w:rsid w:val="00D24F63"/>
    <w:rsid w:val="00D2579A"/>
    <w:rsid w:val="00D257CF"/>
    <w:rsid w:val="00D25A81"/>
    <w:rsid w:val="00D25CC5"/>
    <w:rsid w:val="00D2638D"/>
    <w:rsid w:val="00D26403"/>
    <w:rsid w:val="00D266CA"/>
    <w:rsid w:val="00D26826"/>
    <w:rsid w:val="00D26899"/>
    <w:rsid w:val="00D268E5"/>
    <w:rsid w:val="00D26BBB"/>
    <w:rsid w:val="00D26E6C"/>
    <w:rsid w:val="00D2721E"/>
    <w:rsid w:val="00D27375"/>
    <w:rsid w:val="00D276F7"/>
    <w:rsid w:val="00D305A7"/>
    <w:rsid w:val="00D3076C"/>
    <w:rsid w:val="00D30A4D"/>
    <w:rsid w:val="00D31248"/>
    <w:rsid w:val="00D313F5"/>
    <w:rsid w:val="00D3140B"/>
    <w:rsid w:val="00D31887"/>
    <w:rsid w:val="00D31E1F"/>
    <w:rsid w:val="00D32013"/>
    <w:rsid w:val="00D32024"/>
    <w:rsid w:val="00D325E4"/>
    <w:rsid w:val="00D32922"/>
    <w:rsid w:val="00D32D66"/>
    <w:rsid w:val="00D330EA"/>
    <w:rsid w:val="00D33256"/>
    <w:rsid w:val="00D335C8"/>
    <w:rsid w:val="00D3380D"/>
    <w:rsid w:val="00D33D7E"/>
    <w:rsid w:val="00D347C4"/>
    <w:rsid w:val="00D347DB"/>
    <w:rsid w:val="00D34863"/>
    <w:rsid w:val="00D34BCA"/>
    <w:rsid w:val="00D3521F"/>
    <w:rsid w:val="00D3533F"/>
    <w:rsid w:val="00D356B4"/>
    <w:rsid w:val="00D35A50"/>
    <w:rsid w:val="00D360E1"/>
    <w:rsid w:val="00D36407"/>
    <w:rsid w:val="00D36821"/>
    <w:rsid w:val="00D36CAE"/>
    <w:rsid w:val="00D372C9"/>
    <w:rsid w:val="00D378E1"/>
    <w:rsid w:val="00D37A60"/>
    <w:rsid w:val="00D37CCD"/>
    <w:rsid w:val="00D40955"/>
    <w:rsid w:val="00D40A7F"/>
    <w:rsid w:val="00D40BDA"/>
    <w:rsid w:val="00D40EF1"/>
    <w:rsid w:val="00D4124E"/>
    <w:rsid w:val="00D412F9"/>
    <w:rsid w:val="00D41403"/>
    <w:rsid w:val="00D416D6"/>
    <w:rsid w:val="00D42030"/>
    <w:rsid w:val="00D42498"/>
    <w:rsid w:val="00D4284B"/>
    <w:rsid w:val="00D42A42"/>
    <w:rsid w:val="00D433D7"/>
    <w:rsid w:val="00D43734"/>
    <w:rsid w:val="00D43773"/>
    <w:rsid w:val="00D4385C"/>
    <w:rsid w:val="00D4392C"/>
    <w:rsid w:val="00D43EDA"/>
    <w:rsid w:val="00D4411C"/>
    <w:rsid w:val="00D44A92"/>
    <w:rsid w:val="00D4508C"/>
    <w:rsid w:val="00D4574D"/>
    <w:rsid w:val="00D45B89"/>
    <w:rsid w:val="00D45CD4"/>
    <w:rsid w:val="00D46D4E"/>
    <w:rsid w:val="00D47000"/>
    <w:rsid w:val="00D4725F"/>
    <w:rsid w:val="00D4737C"/>
    <w:rsid w:val="00D4746A"/>
    <w:rsid w:val="00D500AD"/>
    <w:rsid w:val="00D507BF"/>
    <w:rsid w:val="00D50F5C"/>
    <w:rsid w:val="00D51A67"/>
    <w:rsid w:val="00D5224D"/>
    <w:rsid w:val="00D52396"/>
    <w:rsid w:val="00D523C5"/>
    <w:rsid w:val="00D529D0"/>
    <w:rsid w:val="00D52D83"/>
    <w:rsid w:val="00D531E5"/>
    <w:rsid w:val="00D54572"/>
    <w:rsid w:val="00D546B2"/>
    <w:rsid w:val="00D54C81"/>
    <w:rsid w:val="00D5560E"/>
    <w:rsid w:val="00D560B5"/>
    <w:rsid w:val="00D5661F"/>
    <w:rsid w:val="00D57174"/>
    <w:rsid w:val="00D574A0"/>
    <w:rsid w:val="00D57E8E"/>
    <w:rsid w:val="00D60339"/>
    <w:rsid w:val="00D604AD"/>
    <w:rsid w:val="00D6052A"/>
    <w:rsid w:val="00D606C1"/>
    <w:rsid w:val="00D607D4"/>
    <w:rsid w:val="00D60B95"/>
    <w:rsid w:val="00D60C4E"/>
    <w:rsid w:val="00D61355"/>
    <w:rsid w:val="00D61636"/>
    <w:rsid w:val="00D61C77"/>
    <w:rsid w:val="00D61D21"/>
    <w:rsid w:val="00D627F4"/>
    <w:rsid w:val="00D628D0"/>
    <w:rsid w:val="00D62A98"/>
    <w:rsid w:val="00D633D7"/>
    <w:rsid w:val="00D638FE"/>
    <w:rsid w:val="00D63A39"/>
    <w:rsid w:val="00D63F54"/>
    <w:rsid w:val="00D6412E"/>
    <w:rsid w:val="00D64556"/>
    <w:rsid w:val="00D6485A"/>
    <w:rsid w:val="00D6490E"/>
    <w:rsid w:val="00D649E3"/>
    <w:rsid w:val="00D64B3F"/>
    <w:rsid w:val="00D64CE0"/>
    <w:rsid w:val="00D652ED"/>
    <w:rsid w:val="00D65343"/>
    <w:rsid w:val="00D6552A"/>
    <w:rsid w:val="00D65833"/>
    <w:rsid w:val="00D659FE"/>
    <w:rsid w:val="00D66129"/>
    <w:rsid w:val="00D663FF"/>
    <w:rsid w:val="00D6640B"/>
    <w:rsid w:val="00D6692A"/>
    <w:rsid w:val="00D66978"/>
    <w:rsid w:val="00D66BB0"/>
    <w:rsid w:val="00D67120"/>
    <w:rsid w:val="00D67400"/>
    <w:rsid w:val="00D67814"/>
    <w:rsid w:val="00D67EB1"/>
    <w:rsid w:val="00D70096"/>
    <w:rsid w:val="00D70306"/>
    <w:rsid w:val="00D703FE"/>
    <w:rsid w:val="00D70979"/>
    <w:rsid w:val="00D70A14"/>
    <w:rsid w:val="00D70B05"/>
    <w:rsid w:val="00D71133"/>
    <w:rsid w:val="00D72010"/>
    <w:rsid w:val="00D72456"/>
    <w:rsid w:val="00D727DF"/>
    <w:rsid w:val="00D733E4"/>
    <w:rsid w:val="00D735EC"/>
    <w:rsid w:val="00D73A68"/>
    <w:rsid w:val="00D73B51"/>
    <w:rsid w:val="00D74172"/>
    <w:rsid w:val="00D7482F"/>
    <w:rsid w:val="00D74C5C"/>
    <w:rsid w:val="00D75042"/>
    <w:rsid w:val="00D7505C"/>
    <w:rsid w:val="00D751F3"/>
    <w:rsid w:val="00D751F8"/>
    <w:rsid w:val="00D75AA9"/>
    <w:rsid w:val="00D75B7D"/>
    <w:rsid w:val="00D7620E"/>
    <w:rsid w:val="00D763E8"/>
    <w:rsid w:val="00D764A8"/>
    <w:rsid w:val="00D76AC9"/>
    <w:rsid w:val="00D76B9E"/>
    <w:rsid w:val="00D76DEC"/>
    <w:rsid w:val="00D77689"/>
    <w:rsid w:val="00D7776F"/>
    <w:rsid w:val="00D77897"/>
    <w:rsid w:val="00D77B3E"/>
    <w:rsid w:val="00D80448"/>
    <w:rsid w:val="00D80639"/>
    <w:rsid w:val="00D807DF"/>
    <w:rsid w:val="00D80859"/>
    <w:rsid w:val="00D8154A"/>
    <w:rsid w:val="00D815AE"/>
    <w:rsid w:val="00D81C04"/>
    <w:rsid w:val="00D81C22"/>
    <w:rsid w:val="00D82390"/>
    <w:rsid w:val="00D8246D"/>
    <w:rsid w:val="00D82498"/>
    <w:rsid w:val="00D82B04"/>
    <w:rsid w:val="00D844E2"/>
    <w:rsid w:val="00D84A41"/>
    <w:rsid w:val="00D85207"/>
    <w:rsid w:val="00D85391"/>
    <w:rsid w:val="00D853ED"/>
    <w:rsid w:val="00D85910"/>
    <w:rsid w:val="00D8636A"/>
    <w:rsid w:val="00D86694"/>
    <w:rsid w:val="00D867A1"/>
    <w:rsid w:val="00D86AF2"/>
    <w:rsid w:val="00D86D6D"/>
    <w:rsid w:val="00D87726"/>
    <w:rsid w:val="00D87751"/>
    <w:rsid w:val="00D87885"/>
    <w:rsid w:val="00D87B79"/>
    <w:rsid w:val="00D87C62"/>
    <w:rsid w:val="00D87FC4"/>
    <w:rsid w:val="00D9017C"/>
    <w:rsid w:val="00D9077C"/>
    <w:rsid w:val="00D90CD2"/>
    <w:rsid w:val="00D90F45"/>
    <w:rsid w:val="00D91492"/>
    <w:rsid w:val="00D91A73"/>
    <w:rsid w:val="00D92145"/>
    <w:rsid w:val="00D9226D"/>
    <w:rsid w:val="00D92795"/>
    <w:rsid w:val="00D92D73"/>
    <w:rsid w:val="00D92EDF"/>
    <w:rsid w:val="00D93240"/>
    <w:rsid w:val="00D940DF"/>
    <w:rsid w:val="00D94F96"/>
    <w:rsid w:val="00D95C07"/>
    <w:rsid w:val="00D95C5F"/>
    <w:rsid w:val="00D9656F"/>
    <w:rsid w:val="00D96954"/>
    <w:rsid w:val="00D9695C"/>
    <w:rsid w:val="00D96BCC"/>
    <w:rsid w:val="00D96DC7"/>
    <w:rsid w:val="00D9751B"/>
    <w:rsid w:val="00D97E2D"/>
    <w:rsid w:val="00DA0267"/>
    <w:rsid w:val="00DA05EE"/>
    <w:rsid w:val="00DA07A1"/>
    <w:rsid w:val="00DA0B00"/>
    <w:rsid w:val="00DA0F0A"/>
    <w:rsid w:val="00DA116B"/>
    <w:rsid w:val="00DA16A8"/>
    <w:rsid w:val="00DA2056"/>
    <w:rsid w:val="00DA2B88"/>
    <w:rsid w:val="00DA2BF6"/>
    <w:rsid w:val="00DA2BF7"/>
    <w:rsid w:val="00DA35F9"/>
    <w:rsid w:val="00DA3617"/>
    <w:rsid w:val="00DA3696"/>
    <w:rsid w:val="00DA397A"/>
    <w:rsid w:val="00DA3AE8"/>
    <w:rsid w:val="00DA3D2D"/>
    <w:rsid w:val="00DA3E8D"/>
    <w:rsid w:val="00DA4861"/>
    <w:rsid w:val="00DA4FE6"/>
    <w:rsid w:val="00DA536F"/>
    <w:rsid w:val="00DA5647"/>
    <w:rsid w:val="00DA5C53"/>
    <w:rsid w:val="00DA66ED"/>
    <w:rsid w:val="00DA67D2"/>
    <w:rsid w:val="00DA6BFE"/>
    <w:rsid w:val="00DA72A9"/>
    <w:rsid w:val="00DB00C1"/>
    <w:rsid w:val="00DB0291"/>
    <w:rsid w:val="00DB068E"/>
    <w:rsid w:val="00DB0E8C"/>
    <w:rsid w:val="00DB0F30"/>
    <w:rsid w:val="00DB10A8"/>
    <w:rsid w:val="00DB13CB"/>
    <w:rsid w:val="00DB1423"/>
    <w:rsid w:val="00DB1814"/>
    <w:rsid w:val="00DB1FB1"/>
    <w:rsid w:val="00DB2B85"/>
    <w:rsid w:val="00DB2BF8"/>
    <w:rsid w:val="00DB2FC7"/>
    <w:rsid w:val="00DB31B3"/>
    <w:rsid w:val="00DB373B"/>
    <w:rsid w:val="00DB3AE3"/>
    <w:rsid w:val="00DB4E91"/>
    <w:rsid w:val="00DB5062"/>
    <w:rsid w:val="00DB525A"/>
    <w:rsid w:val="00DB560C"/>
    <w:rsid w:val="00DB57B6"/>
    <w:rsid w:val="00DB5A08"/>
    <w:rsid w:val="00DB5CEA"/>
    <w:rsid w:val="00DB6D77"/>
    <w:rsid w:val="00DB754A"/>
    <w:rsid w:val="00DC0139"/>
    <w:rsid w:val="00DC0515"/>
    <w:rsid w:val="00DC0BD9"/>
    <w:rsid w:val="00DC0C1E"/>
    <w:rsid w:val="00DC0E6C"/>
    <w:rsid w:val="00DC17DD"/>
    <w:rsid w:val="00DC1E40"/>
    <w:rsid w:val="00DC257C"/>
    <w:rsid w:val="00DC2C22"/>
    <w:rsid w:val="00DC2CFC"/>
    <w:rsid w:val="00DC3567"/>
    <w:rsid w:val="00DC3660"/>
    <w:rsid w:val="00DC3952"/>
    <w:rsid w:val="00DC3EE9"/>
    <w:rsid w:val="00DC40BA"/>
    <w:rsid w:val="00DC4DB6"/>
    <w:rsid w:val="00DC5A50"/>
    <w:rsid w:val="00DC6347"/>
    <w:rsid w:val="00DC6395"/>
    <w:rsid w:val="00DC7468"/>
    <w:rsid w:val="00DC7997"/>
    <w:rsid w:val="00DC79A4"/>
    <w:rsid w:val="00DC7A19"/>
    <w:rsid w:val="00DC7AF9"/>
    <w:rsid w:val="00DC7B9C"/>
    <w:rsid w:val="00DC7CDA"/>
    <w:rsid w:val="00DD022D"/>
    <w:rsid w:val="00DD038D"/>
    <w:rsid w:val="00DD1146"/>
    <w:rsid w:val="00DD160D"/>
    <w:rsid w:val="00DD197C"/>
    <w:rsid w:val="00DD1A4F"/>
    <w:rsid w:val="00DD2330"/>
    <w:rsid w:val="00DD2852"/>
    <w:rsid w:val="00DD2CC7"/>
    <w:rsid w:val="00DD3815"/>
    <w:rsid w:val="00DD3F70"/>
    <w:rsid w:val="00DD59FF"/>
    <w:rsid w:val="00DD65CD"/>
    <w:rsid w:val="00DD6A89"/>
    <w:rsid w:val="00DD70AC"/>
    <w:rsid w:val="00DD776D"/>
    <w:rsid w:val="00DD7D39"/>
    <w:rsid w:val="00DD7FDE"/>
    <w:rsid w:val="00DE0045"/>
    <w:rsid w:val="00DE0478"/>
    <w:rsid w:val="00DE06E9"/>
    <w:rsid w:val="00DE07E1"/>
    <w:rsid w:val="00DE147A"/>
    <w:rsid w:val="00DE1B4A"/>
    <w:rsid w:val="00DE1C13"/>
    <w:rsid w:val="00DE1DE5"/>
    <w:rsid w:val="00DE1E30"/>
    <w:rsid w:val="00DE22F4"/>
    <w:rsid w:val="00DE27F7"/>
    <w:rsid w:val="00DE2878"/>
    <w:rsid w:val="00DE2A0E"/>
    <w:rsid w:val="00DE2D33"/>
    <w:rsid w:val="00DE2F93"/>
    <w:rsid w:val="00DE3037"/>
    <w:rsid w:val="00DE357D"/>
    <w:rsid w:val="00DE3B1E"/>
    <w:rsid w:val="00DE4321"/>
    <w:rsid w:val="00DE4AF5"/>
    <w:rsid w:val="00DE4D2A"/>
    <w:rsid w:val="00DE4F2F"/>
    <w:rsid w:val="00DE5127"/>
    <w:rsid w:val="00DE68BA"/>
    <w:rsid w:val="00DE7512"/>
    <w:rsid w:val="00DE7865"/>
    <w:rsid w:val="00DE7BEF"/>
    <w:rsid w:val="00DF0322"/>
    <w:rsid w:val="00DF06CA"/>
    <w:rsid w:val="00DF0750"/>
    <w:rsid w:val="00DF13E9"/>
    <w:rsid w:val="00DF1817"/>
    <w:rsid w:val="00DF18D1"/>
    <w:rsid w:val="00DF1B1E"/>
    <w:rsid w:val="00DF1D23"/>
    <w:rsid w:val="00DF2744"/>
    <w:rsid w:val="00DF2B9C"/>
    <w:rsid w:val="00DF3CA6"/>
    <w:rsid w:val="00DF3E33"/>
    <w:rsid w:val="00DF3F6D"/>
    <w:rsid w:val="00DF436D"/>
    <w:rsid w:val="00DF4957"/>
    <w:rsid w:val="00DF4D9F"/>
    <w:rsid w:val="00DF55FD"/>
    <w:rsid w:val="00DF5998"/>
    <w:rsid w:val="00DF62A3"/>
    <w:rsid w:val="00DF665B"/>
    <w:rsid w:val="00DF6B2B"/>
    <w:rsid w:val="00DF6CDB"/>
    <w:rsid w:val="00DF7518"/>
    <w:rsid w:val="00DF7744"/>
    <w:rsid w:val="00E001D6"/>
    <w:rsid w:val="00E00BD9"/>
    <w:rsid w:val="00E00EE9"/>
    <w:rsid w:val="00E01279"/>
    <w:rsid w:val="00E0185B"/>
    <w:rsid w:val="00E018B0"/>
    <w:rsid w:val="00E022E3"/>
    <w:rsid w:val="00E02355"/>
    <w:rsid w:val="00E02C15"/>
    <w:rsid w:val="00E03508"/>
    <w:rsid w:val="00E035FD"/>
    <w:rsid w:val="00E03C04"/>
    <w:rsid w:val="00E03CBD"/>
    <w:rsid w:val="00E03CD4"/>
    <w:rsid w:val="00E03E10"/>
    <w:rsid w:val="00E03F04"/>
    <w:rsid w:val="00E041C5"/>
    <w:rsid w:val="00E045E5"/>
    <w:rsid w:val="00E0482D"/>
    <w:rsid w:val="00E04A8E"/>
    <w:rsid w:val="00E04EEA"/>
    <w:rsid w:val="00E0558A"/>
    <w:rsid w:val="00E057EC"/>
    <w:rsid w:val="00E0596E"/>
    <w:rsid w:val="00E05F75"/>
    <w:rsid w:val="00E061F4"/>
    <w:rsid w:val="00E06765"/>
    <w:rsid w:val="00E06B68"/>
    <w:rsid w:val="00E100B6"/>
    <w:rsid w:val="00E10A5B"/>
    <w:rsid w:val="00E10AD8"/>
    <w:rsid w:val="00E10FA1"/>
    <w:rsid w:val="00E11087"/>
    <w:rsid w:val="00E110D4"/>
    <w:rsid w:val="00E11946"/>
    <w:rsid w:val="00E128A8"/>
    <w:rsid w:val="00E12A3C"/>
    <w:rsid w:val="00E13576"/>
    <w:rsid w:val="00E13676"/>
    <w:rsid w:val="00E1395A"/>
    <w:rsid w:val="00E13AEC"/>
    <w:rsid w:val="00E146A3"/>
    <w:rsid w:val="00E14863"/>
    <w:rsid w:val="00E151D8"/>
    <w:rsid w:val="00E15248"/>
    <w:rsid w:val="00E154C3"/>
    <w:rsid w:val="00E1570D"/>
    <w:rsid w:val="00E15E98"/>
    <w:rsid w:val="00E15F03"/>
    <w:rsid w:val="00E162E2"/>
    <w:rsid w:val="00E16BFE"/>
    <w:rsid w:val="00E16C3B"/>
    <w:rsid w:val="00E16F58"/>
    <w:rsid w:val="00E17062"/>
    <w:rsid w:val="00E170DE"/>
    <w:rsid w:val="00E172CE"/>
    <w:rsid w:val="00E17371"/>
    <w:rsid w:val="00E17A94"/>
    <w:rsid w:val="00E17B1A"/>
    <w:rsid w:val="00E17B62"/>
    <w:rsid w:val="00E17C79"/>
    <w:rsid w:val="00E2047C"/>
    <w:rsid w:val="00E2066B"/>
    <w:rsid w:val="00E20C03"/>
    <w:rsid w:val="00E20C75"/>
    <w:rsid w:val="00E20E56"/>
    <w:rsid w:val="00E21195"/>
    <w:rsid w:val="00E218CB"/>
    <w:rsid w:val="00E22185"/>
    <w:rsid w:val="00E22461"/>
    <w:rsid w:val="00E225FC"/>
    <w:rsid w:val="00E22684"/>
    <w:rsid w:val="00E22C18"/>
    <w:rsid w:val="00E22DA5"/>
    <w:rsid w:val="00E23685"/>
    <w:rsid w:val="00E23767"/>
    <w:rsid w:val="00E23C12"/>
    <w:rsid w:val="00E23CF3"/>
    <w:rsid w:val="00E24261"/>
    <w:rsid w:val="00E24427"/>
    <w:rsid w:val="00E2466F"/>
    <w:rsid w:val="00E250D8"/>
    <w:rsid w:val="00E25342"/>
    <w:rsid w:val="00E25766"/>
    <w:rsid w:val="00E26765"/>
    <w:rsid w:val="00E267B1"/>
    <w:rsid w:val="00E267FC"/>
    <w:rsid w:val="00E26AC6"/>
    <w:rsid w:val="00E26C63"/>
    <w:rsid w:val="00E26C75"/>
    <w:rsid w:val="00E272EA"/>
    <w:rsid w:val="00E2736E"/>
    <w:rsid w:val="00E275FE"/>
    <w:rsid w:val="00E27960"/>
    <w:rsid w:val="00E2798A"/>
    <w:rsid w:val="00E27F1B"/>
    <w:rsid w:val="00E30029"/>
    <w:rsid w:val="00E30A66"/>
    <w:rsid w:val="00E31220"/>
    <w:rsid w:val="00E31284"/>
    <w:rsid w:val="00E313E6"/>
    <w:rsid w:val="00E3162C"/>
    <w:rsid w:val="00E3177A"/>
    <w:rsid w:val="00E324C0"/>
    <w:rsid w:val="00E333B3"/>
    <w:rsid w:val="00E33AEB"/>
    <w:rsid w:val="00E34431"/>
    <w:rsid w:val="00E349BC"/>
    <w:rsid w:val="00E34A04"/>
    <w:rsid w:val="00E34A25"/>
    <w:rsid w:val="00E357D7"/>
    <w:rsid w:val="00E35E34"/>
    <w:rsid w:val="00E36269"/>
    <w:rsid w:val="00E3734C"/>
    <w:rsid w:val="00E377C6"/>
    <w:rsid w:val="00E37865"/>
    <w:rsid w:val="00E37AF4"/>
    <w:rsid w:val="00E401A3"/>
    <w:rsid w:val="00E4049A"/>
    <w:rsid w:val="00E40C65"/>
    <w:rsid w:val="00E40EEA"/>
    <w:rsid w:val="00E415D6"/>
    <w:rsid w:val="00E415F8"/>
    <w:rsid w:val="00E42098"/>
    <w:rsid w:val="00E424C5"/>
    <w:rsid w:val="00E424E7"/>
    <w:rsid w:val="00E427DA"/>
    <w:rsid w:val="00E42CB4"/>
    <w:rsid w:val="00E42FB2"/>
    <w:rsid w:val="00E4318D"/>
    <w:rsid w:val="00E434F1"/>
    <w:rsid w:val="00E438EF"/>
    <w:rsid w:val="00E44336"/>
    <w:rsid w:val="00E44C99"/>
    <w:rsid w:val="00E456C0"/>
    <w:rsid w:val="00E4630A"/>
    <w:rsid w:val="00E468AA"/>
    <w:rsid w:val="00E469A6"/>
    <w:rsid w:val="00E46BC1"/>
    <w:rsid w:val="00E46FED"/>
    <w:rsid w:val="00E473F2"/>
    <w:rsid w:val="00E47CA7"/>
    <w:rsid w:val="00E500BD"/>
    <w:rsid w:val="00E50219"/>
    <w:rsid w:val="00E50223"/>
    <w:rsid w:val="00E50CB2"/>
    <w:rsid w:val="00E5113F"/>
    <w:rsid w:val="00E524BB"/>
    <w:rsid w:val="00E52663"/>
    <w:rsid w:val="00E52BEC"/>
    <w:rsid w:val="00E52CE1"/>
    <w:rsid w:val="00E5345E"/>
    <w:rsid w:val="00E53544"/>
    <w:rsid w:val="00E537E1"/>
    <w:rsid w:val="00E53F6C"/>
    <w:rsid w:val="00E54430"/>
    <w:rsid w:val="00E54659"/>
    <w:rsid w:val="00E54B53"/>
    <w:rsid w:val="00E56C49"/>
    <w:rsid w:val="00E575FF"/>
    <w:rsid w:val="00E57C60"/>
    <w:rsid w:val="00E60116"/>
    <w:rsid w:val="00E602FB"/>
    <w:rsid w:val="00E605D6"/>
    <w:rsid w:val="00E60A54"/>
    <w:rsid w:val="00E60EF3"/>
    <w:rsid w:val="00E61309"/>
    <w:rsid w:val="00E61339"/>
    <w:rsid w:val="00E62009"/>
    <w:rsid w:val="00E6217F"/>
    <w:rsid w:val="00E6238F"/>
    <w:rsid w:val="00E625BC"/>
    <w:rsid w:val="00E633C0"/>
    <w:rsid w:val="00E6353F"/>
    <w:rsid w:val="00E63D34"/>
    <w:rsid w:val="00E64F89"/>
    <w:rsid w:val="00E6526C"/>
    <w:rsid w:val="00E6557D"/>
    <w:rsid w:val="00E6576C"/>
    <w:rsid w:val="00E6579D"/>
    <w:rsid w:val="00E659A1"/>
    <w:rsid w:val="00E65CB5"/>
    <w:rsid w:val="00E65FF9"/>
    <w:rsid w:val="00E66FD8"/>
    <w:rsid w:val="00E67603"/>
    <w:rsid w:val="00E6782B"/>
    <w:rsid w:val="00E70382"/>
    <w:rsid w:val="00E70440"/>
    <w:rsid w:val="00E70682"/>
    <w:rsid w:val="00E708C2"/>
    <w:rsid w:val="00E711E1"/>
    <w:rsid w:val="00E71586"/>
    <w:rsid w:val="00E71599"/>
    <w:rsid w:val="00E7194E"/>
    <w:rsid w:val="00E728F4"/>
    <w:rsid w:val="00E72933"/>
    <w:rsid w:val="00E734CF"/>
    <w:rsid w:val="00E73D87"/>
    <w:rsid w:val="00E741D7"/>
    <w:rsid w:val="00E7429F"/>
    <w:rsid w:val="00E74504"/>
    <w:rsid w:val="00E746D1"/>
    <w:rsid w:val="00E7583B"/>
    <w:rsid w:val="00E759F9"/>
    <w:rsid w:val="00E75E36"/>
    <w:rsid w:val="00E75F26"/>
    <w:rsid w:val="00E76171"/>
    <w:rsid w:val="00E7652C"/>
    <w:rsid w:val="00E765D9"/>
    <w:rsid w:val="00E76791"/>
    <w:rsid w:val="00E76B8A"/>
    <w:rsid w:val="00E76DDD"/>
    <w:rsid w:val="00E76ED5"/>
    <w:rsid w:val="00E76F41"/>
    <w:rsid w:val="00E774EE"/>
    <w:rsid w:val="00E77B9C"/>
    <w:rsid w:val="00E80C2E"/>
    <w:rsid w:val="00E80D7C"/>
    <w:rsid w:val="00E81186"/>
    <w:rsid w:val="00E81693"/>
    <w:rsid w:val="00E81A00"/>
    <w:rsid w:val="00E81E69"/>
    <w:rsid w:val="00E821DB"/>
    <w:rsid w:val="00E8258F"/>
    <w:rsid w:val="00E82A06"/>
    <w:rsid w:val="00E82AB0"/>
    <w:rsid w:val="00E82E42"/>
    <w:rsid w:val="00E830E0"/>
    <w:rsid w:val="00E8355E"/>
    <w:rsid w:val="00E839A3"/>
    <w:rsid w:val="00E83B82"/>
    <w:rsid w:val="00E847AD"/>
    <w:rsid w:val="00E8546D"/>
    <w:rsid w:val="00E858A1"/>
    <w:rsid w:val="00E859AA"/>
    <w:rsid w:val="00E85C2E"/>
    <w:rsid w:val="00E8646E"/>
    <w:rsid w:val="00E866FF"/>
    <w:rsid w:val="00E86D48"/>
    <w:rsid w:val="00E86F10"/>
    <w:rsid w:val="00E87170"/>
    <w:rsid w:val="00E87485"/>
    <w:rsid w:val="00E87873"/>
    <w:rsid w:val="00E901BB"/>
    <w:rsid w:val="00E901F9"/>
    <w:rsid w:val="00E906A7"/>
    <w:rsid w:val="00E907D3"/>
    <w:rsid w:val="00E90BAA"/>
    <w:rsid w:val="00E91C22"/>
    <w:rsid w:val="00E9213F"/>
    <w:rsid w:val="00E92394"/>
    <w:rsid w:val="00E932A3"/>
    <w:rsid w:val="00E9345D"/>
    <w:rsid w:val="00E93709"/>
    <w:rsid w:val="00E9372E"/>
    <w:rsid w:val="00E93D51"/>
    <w:rsid w:val="00E941C4"/>
    <w:rsid w:val="00E949C8"/>
    <w:rsid w:val="00E94B09"/>
    <w:rsid w:val="00E94B77"/>
    <w:rsid w:val="00E956D3"/>
    <w:rsid w:val="00E9602F"/>
    <w:rsid w:val="00E967F1"/>
    <w:rsid w:val="00E96909"/>
    <w:rsid w:val="00E96EB4"/>
    <w:rsid w:val="00E97618"/>
    <w:rsid w:val="00E977D2"/>
    <w:rsid w:val="00E97BE9"/>
    <w:rsid w:val="00E97E74"/>
    <w:rsid w:val="00E97EF0"/>
    <w:rsid w:val="00EA0074"/>
    <w:rsid w:val="00EA00EB"/>
    <w:rsid w:val="00EA09E9"/>
    <w:rsid w:val="00EA0D89"/>
    <w:rsid w:val="00EA14A6"/>
    <w:rsid w:val="00EA1644"/>
    <w:rsid w:val="00EA240C"/>
    <w:rsid w:val="00EA2B54"/>
    <w:rsid w:val="00EA2BF1"/>
    <w:rsid w:val="00EA2D03"/>
    <w:rsid w:val="00EA3180"/>
    <w:rsid w:val="00EA381B"/>
    <w:rsid w:val="00EA46EC"/>
    <w:rsid w:val="00EA47EB"/>
    <w:rsid w:val="00EA4885"/>
    <w:rsid w:val="00EA4E6C"/>
    <w:rsid w:val="00EA505F"/>
    <w:rsid w:val="00EA5105"/>
    <w:rsid w:val="00EA5880"/>
    <w:rsid w:val="00EA59C3"/>
    <w:rsid w:val="00EA5DB0"/>
    <w:rsid w:val="00EA5DD5"/>
    <w:rsid w:val="00EA615B"/>
    <w:rsid w:val="00EA6224"/>
    <w:rsid w:val="00EA6294"/>
    <w:rsid w:val="00EA68D2"/>
    <w:rsid w:val="00EA6B32"/>
    <w:rsid w:val="00EA7250"/>
    <w:rsid w:val="00EA76CB"/>
    <w:rsid w:val="00EA77B1"/>
    <w:rsid w:val="00EA7877"/>
    <w:rsid w:val="00EA7D02"/>
    <w:rsid w:val="00EA7D13"/>
    <w:rsid w:val="00EB0234"/>
    <w:rsid w:val="00EB0527"/>
    <w:rsid w:val="00EB0BB4"/>
    <w:rsid w:val="00EB0CE1"/>
    <w:rsid w:val="00EB1041"/>
    <w:rsid w:val="00EB1BAB"/>
    <w:rsid w:val="00EB1BE7"/>
    <w:rsid w:val="00EB33E2"/>
    <w:rsid w:val="00EB358B"/>
    <w:rsid w:val="00EB3759"/>
    <w:rsid w:val="00EB416D"/>
    <w:rsid w:val="00EB4EE4"/>
    <w:rsid w:val="00EB51DA"/>
    <w:rsid w:val="00EB51FF"/>
    <w:rsid w:val="00EB594B"/>
    <w:rsid w:val="00EB666F"/>
    <w:rsid w:val="00EB7179"/>
    <w:rsid w:val="00EB77A1"/>
    <w:rsid w:val="00EC00D2"/>
    <w:rsid w:val="00EC043A"/>
    <w:rsid w:val="00EC06DA"/>
    <w:rsid w:val="00EC1151"/>
    <w:rsid w:val="00EC2233"/>
    <w:rsid w:val="00EC2660"/>
    <w:rsid w:val="00EC280A"/>
    <w:rsid w:val="00EC2953"/>
    <w:rsid w:val="00EC2C83"/>
    <w:rsid w:val="00EC3062"/>
    <w:rsid w:val="00EC3369"/>
    <w:rsid w:val="00EC36DA"/>
    <w:rsid w:val="00EC41B3"/>
    <w:rsid w:val="00EC4232"/>
    <w:rsid w:val="00EC462D"/>
    <w:rsid w:val="00EC503E"/>
    <w:rsid w:val="00EC512A"/>
    <w:rsid w:val="00EC5331"/>
    <w:rsid w:val="00EC5609"/>
    <w:rsid w:val="00EC5712"/>
    <w:rsid w:val="00EC5A22"/>
    <w:rsid w:val="00EC61AA"/>
    <w:rsid w:val="00EC6279"/>
    <w:rsid w:val="00EC66D4"/>
    <w:rsid w:val="00EC69DD"/>
    <w:rsid w:val="00EC6ACA"/>
    <w:rsid w:val="00EC715D"/>
    <w:rsid w:val="00EC7369"/>
    <w:rsid w:val="00EC7506"/>
    <w:rsid w:val="00EC76C7"/>
    <w:rsid w:val="00EC7C14"/>
    <w:rsid w:val="00ED02DB"/>
    <w:rsid w:val="00ED0585"/>
    <w:rsid w:val="00ED0B31"/>
    <w:rsid w:val="00ED1619"/>
    <w:rsid w:val="00ED193A"/>
    <w:rsid w:val="00ED1A8C"/>
    <w:rsid w:val="00ED1F55"/>
    <w:rsid w:val="00ED2240"/>
    <w:rsid w:val="00ED2757"/>
    <w:rsid w:val="00ED2830"/>
    <w:rsid w:val="00ED28B0"/>
    <w:rsid w:val="00ED2CC8"/>
    <w:rsid w:val="00ED2D5C"/>
    <w:rsid w:val="00ED2FE9"/>
    <w:rsid w:val="00ED3AD4"/>
    <w:rsid w:val="00ED4275"/>
    <w:rsid w:val="00ED4997"/>
    <w:rsid w:val="00ED5E84"/>
    <w:rsid w:val="00ED6038"/>
    <w:rsid w:val="00ED65EA"/>
    <w:rsid w:val="00ED6B57"/>
    <w:rsid w:val="00ED7110"/>
    <w:rsid w:val="00ED7121"/>
    <w:rsid w:val="00ED77D0"/>
    <w:rsid w:val="00ED7B25"/>
    <w:rsid w:val="00ED7D24"/>
    <w:rsid w:val="00ED7F4F"/>
    <w:rsid w:val="00EE0423"/>
    <w:rsid w:val="00EE056E"/>
    <w:rsid w:val="00EE11F9"/>
    <w:rsid w:val="00EE1350"/>
    <w:rsid w:val="00EE14C8"/>
    <w:rsid w:val="00EE1983"/>
    <w:rsid w:val="00EE1DAC"/>
    <w:rsid w:val="00EE1EF0"/>
    <w:rsid w:val="00EE1F37"/>
    <w:rsid w:val="00EE23DB"/>
    <w:rsid w:val="00EE2B27"/>
    <w:rsid w:val="00EE2C16"/>
    <w:rsid w:val="00EE35FD"/>
    <w:rsid w:val="00EE374F"/>
    <w:rsid w:val="00EE39DF"/>
    <w:rsid w:val="00EE3C13"/>
    <w:rsid w:val="00EE3F71"/>
    <w:rsid w:val="00EE3FB6"/>
    <w:rsid w:val="00EE422A"/>
    <w:rsid w:val="00EE42E0"/>
    <w:rsid w:val="00EE4497"/>
    <w:rsid w:val="00EE4C84"/>
    <w:rsid w:val="00EE4E20"/>
    <w:rsid w:val="00EE5204"/>
    <w:rsid w:val="00EE5DA1"/>
    <w:rsid w:val="00EE6067"/>
    <w:rsid w:val="00EE65BA"/>
    <w:rsid w:val="00EE6A91"/>
    <w:rsid w:val="00EE7035"/>
    <w:rsid w:val="00EE7081"/>
    <w:rsid w:val="00EE70FC"/>
    <w:rsid w:val="00EE7515"/>
    <w:rsid w:val="00EE760C"/>
    <w:rsid w:val="00EE7654"/>
    <w:rsid w:val="00EF0341"/>
    <w:rsid w:val="00EF0403"/>
    <w:rsid w:val="00EF0404"/>
    <w:rsid w:val="00EF06DB"/>
    <w:rsid w:val="00EF07FB"/>
    <w:rsid w:val="00EF0977"/>
    <w:rsid w:val="00EF1536"/>
    <w:rsid w:val="00EF1808"/>
    <w:rsid w:val="00EF2109"/>
    <w:rsid w:val="00EF212C"/>
    <w:rsid w:val="00EF215E"/>
    <w:rsid w:val="00EF21DE"/>
    <w:rsid w:val="00EF2428"/>
    <w:rsid w:val="00EF2464"/>
    <w:rsid w:val="00EF2759"/>
    <w:rsid w:val="00EF2993"/>
    <w:rsid w:val="00EF2F81"/>
    <w:rsid w:val="00EF3052"/>
    <w:rsid w:val="00EF34C1"/>
    <w:rsid w:val="00EF4984"/>
    <w:rsid w:val="00EF5581"/>
    <w:rsid w:val="00EF6822"/>
    <w:rsid w:val="00EF72B2"/>
    <w:rsid w:val="00EF7374"/>
    <w:rsid w:val="00F00170"/>
    <w:rsid w:val="00F002C7"/>
    <w:rsid w:val="00F004B5"/>
    <w:rsid w:val="00F00729"/>
    <w:rsid w:val="00F0093C"/>
    <w:rsid w:val="00F00EEC"/>
    <w:rsid w:val="00F01260"/>
    <w:rsid w:val="00F01973"/>
    <w:rsid w:val="00F01E79"/>
    <w:rsid w:val="00F024A5"/>
    <w:rsid w:val="00F024F3"/>
    <w:rsid w:val="00F02A49"/>
    <w:rsid w:val="00F03915"/>
    <w:rsid w:val="00F03AD8"/>
    <w:rsid w:val="00F04361"/>
    <w:rsid w:val="00F0471E"/>
    <w:rsid w:val="00F04B79"/>
    <w:rsid w:val="00F04BD5"/>
    <w:rsid w:val="00F051EC"/>
    <w:rsid w:val="00F05250"/>
    <w:rsid w:val="00F05370"/>
    <w:rsid w:val="00F0569F"/>
    <w:rsid w:val="00F061E1"/>
    <w:rsid w:val="00F062F3"/>
    <w:rsid w:val="00F0631B"/>
    <w:rsid w:val="00F06EEC"/>
    <w:rsid w:val="00F06F9B"/>
    <w:rsid w:val="00F0711D"/>
    <w:rsid w:val="00F07473"/>
    <w:rsid w:val="00F07868"/>
    <w:rsid w:val="00F07CBF"/>
    <w:rsid w:val="00F1182A"/>
    <w:rsid w:val="00F11C1A"/>
    <w:rsid w:val="00F12CB7"/>
    <w:rsid w:val="00F12D7F"/>
    <w:rsid w:val="00F1326E"/>
    <w:rsid w:val="00F13375"/>
    <w:rsid w:val="00F154E8"/>
    <w:rsid w:val="00F155EB"/>
    <w:rsid w:val="00F15611"/>
    <w:rsid w:val="00F157B1"/>
    <w:rsid w:val="00F157E9"/>
    <w:rsid w:val="00F158F5"/>
    <w:rsid w:val="00F15EE5"/>
    <w:rsid w:val="00F15F23"/>
    <w:rsid w:val="00F166A0"/>
    <w:rsid w:val="00F166B2"/>
    <w:rsid w:val="00F1673D"/>
    <w:rsid w:val="00F169A7"/>
    <w:rsid w:val="00F17342"/>
    <w:rsid w:val="00F17D07"/>
    <w:rsid w:val="00F20157"/>
    <w:rsid w:val="00F205AC"/>
    <w:rsid w:val="00F206E9"/>
    <w:rsid w:val="00F2070D"/>
    <w:rsid w:val="00F212FA"/>
    <w:rsid w:val="00F2184E"/>
    <w:rsid w:val="00F218F3"/>
    <w:rsid w:val="00F22124"/>
    <w:rsid w:val="00F22688"/>
    <w:rsid w:val="00F22864"/>
    <w:rsid w:val="00F229A2"/>
    <w:rsid w:val="00F22C9D"/>
    <w:rsid w:val="00F22D96"/>
    <w:rsid w:val="00F23173"/>
    <w:rsid w:val="00F23665"/>
    <w:rsid w:val="00F238F2"/>
    <w:rsid w:val="00F23B4F"/>
    <w:rsid w:val="00F23E91"/>
    <w:rsid w:val="00F24115"/>
    <w:rsid w:val="00F241D0"/>
    <w:rsid w:val="00F241E3"/>
    <w:rsid w:val="00F24966"/>
    <w:rsid w:val="00F24999"/>
    <w:rsid w:val="00F24BB1"/>
    <w:rsid w:val="00F25283"/>
    <w:rsid w:val="00F253F3"/>
    <w:rsid w:val="00F25816"/>
    <w:rsid w:val="00F259A8"/>
    <w:rsid w:val="00F26217"/>
    <w:rsid w:val="00F2675A"/>
    <w:rsid w:val="00F268D1"/>
    <w:rsid w:val="00F26B2C"/>
    <w:rsid w:val="00F26B63"/>
    <w:rsid w:val="00F2706B"/>
    <w:rsid w:val="00F27153"/>
    <w:rsid w:val="00F2740D"/>
    <w:rsid w:val="00F27D8E"/>
    <w:rsid w:val="00F27EAE"/>
    <w:rsid w:val="00F27F97"/>
    <w:rsid w:val="00F30176"/>
    <w:rsid w:val="00F301E4"/>
    <w:rsid w:val="00F307C7"/>
    <w:rsid w:val="00F30842"/>
    <w:rsid w:val="00F30A3D"/>
    <w:rsid w:val="00F30BD0"/>
    <w:rsid w:val="00F30FF9"/>
    <w:rsid w:val="00F31010"/>
    <w:rsid w:val="00F310F2"/>
    <w:rsid w:val="00F31755"/>
    <w:rsid w:val="00F3182A"/>
    <w:rsid w:val="00F31935"/>
    <w:rsid w:val="00F3225F"/>
    <w:rsid w:val="00F32881"/>
    <w:rsid w:val="00F32DE1"/>
    <w:rsid w:val="00F32FD8"/>
    <w:rsid w:val="00F3392F"/>
    <w:rsid w:val="00F34654"/>
    <w:rsid w:val="00F34917"/>
    <w:rsid w:val="00F34A56"/>
    <w:rsid w:val="00F3515D"/>
    <w:rsid w:val="00F3516D"/>
    <w:rsid w:val="00F364A8"/>
    <w:rsid w:val="00F36ABB"/>
    <w:rsid w:val="00F36EE3"/>
    <w:rsid w:val="00F40389"/>
    <w:rsid w:val="00F4053C"/>
    <w:rsid w:val="00F4075A"/>
    <w:rsid w:val="00F40A8F"/>
    <w:rsid w:val="00F40BDB"/>
    <w:rsid w:val="00F4191C"/>
    <w:rsid w:val="00F41A9E"/>
    <w:rsid w:val="00F42125"/>
    <w:rsid w:val="00F42175"/>
    <w:rsid w:val="00F42229"/>
    <w:rsid w:val="00F42337"/>
    <w:rsid w:val="00F429D8"/>
    <w:rsid w:val="00F431D6"/>
    <w:rsid w:val="00F43796"/>
    <w:rsid w:val="00F443EF"/>
    <w:rsid w:val="00F4444B"/>
    <w:rsid w:val="00F44AF3"/>
    <w:rsid w:val="00F44B84"/>
    <w:rsid w:val="00F44BFF"/>
    <w:rsid w:val="00F44D89"/>
    <w:rsid w:val="00F44E2D"/>
    <w:rsid w:val="00F45075"/>
    <w:rsid w:val="00F450D5"/>
    <w:rsid w:val="00F45591"/>
    <w:rsid w:val="00F45933"/>
    <w:rsid w:val="00F45945"/>
    <w:rsid w:val="00F465BF"/>
    <w:rsid w:val="00F467F0"/>
    <w:rsid w:val="00F468F5"/>
    <w:rsid w:val="00F4716D"/>
    <w:rsid w:val="00F471C2"/>
    <w:rsid w:val="00F472FF"/>
    <w:rsid w:val="00F47652"/>
    <w:rsid w:val="00F47768"/>
    <w:rsid w:val="00F478E7"/>
    <w:rsid w:val="00F47B48"/>
    <w:rsid w:val="00F47D67"/>
    <w:rsid w:val="00F47E62"/>
    <w:rsid w:val="00F47FEA"/>
    <w:rsid w:val="00F50456"/>
    <w:rsid w:val="00F506A8"/>
    <w:rsid w:val="00F509E7"/>
    <w:rsid w:val="00F50ED1"/>
    <w:rsid w:val="00F51257"/>
    <w:rsid w:val="00F515CE"/>
    <w:rsid w:val="00F516EB"/>
    <w:rsid w:val="00F51EE3"/>
    <w:rsid w:val="00F5221A"/>
    <w:rsid w:val="00F5269B"/>
    <w:rsid w:val="00F53668"/>
    <w:rsid w:val="00F53F33"/>
    <w:rsid w:val="00F54685"/>
    <w:rsid w:val="00F54962"/>
    <w:rsid w:val="00F54E58"/>
    <w:rsid w:val="00F554CB"/>
    <w:rsid w:val="00F55AAA"/>
    <w:rsid w:val="00F55D6E"/>
    <w:rsid w:val="00F5643C"/>
    <w:rsid w:val="00F5664B"/>
    <w:rsid w:val="00F568E4"/>
    <w:rsid w:val="00F56D5A"/>
    <w:rsid w:val="00F56E1A"/>
    <w:rsid w:val="00F570AB"/>
    <w:rsid w:val="00F57C8C"/>
    <w:rsid w:val="00F60359"/>
    <w:rsid w:val="00F60506"/>
    <w:rsid w:val="00F60567"/>
    <w:rsid w:val="00F60895"/>
    <w:rsid w:val="00F60CDC"/>
    <w:rsid w:val="00F61001"/>
    <w:rsid w:val="00F616EA"/>
    <w:rsid w:val="00F6176A"/>
    <w:rsid w:val="00F617BC"/>
    <w:rsid w:val="00F61A7A"/>
    <w:rsid w:val="00F61BA1"/>
    <w:rsid w:val="00F6206E"/>
    <w:rsid w:val="00F622F9"/>
    <w:rsid w:val="00F62F0A"/>
    <w:rsid w:val="00F63299"/>
    <w:rsid w:val="00F638ED"/>
    <w:rsid w:val="00F63ED3"/>
    <w:rsid w:val="00F64054"/>
    <w:rsid w:val="00F64120"/>
    <w:rsid w:val="00F64896"/>
    <w:rsid w:val="00F649E6"/>
    <w:rsid w:val="00F654BC"/>
    <w:rsid w:val="00F65683"/>
    <w:rsid w:val="00F65C4C"/>
    <w:rsid w:val="00F660F4"/>
    <w:rsid w:val="00F667DB"/>
    <w:rsid w:val="00F66B4A"/>
    <w:rsid w:val="00F67881"/>
    <w:rsid w:val="00F67B0A"/>
    <w:rsid w:val="00F701AF"/>
    <w:rsid w:val="00F70919"/>
    <w:rsid w:val="00F71193"/>
    <w:rsid w:val="00F71316"/>
    <w:rsid w:val="00F7159B"/>
    <w:rsid w:val="00F718BA"/>
    <w:rsid w:val="00F71909"/>
    <w:rsid w:val="00F71F5B"/>
    <w:rsid w:val="00F72399"/>
    <w:rsid w:val="00F72963"/>
    <w:rsid w:val="00F72974"/>
    <w:rsid w:val="00F7297B"/>
    <w:rsid w:val="00F7301B"/>
    <w:rsid w:val="00F730BC"/>
    <w:rsid w:val="00F733FF"/>
    <w:rsid w:val="00F73483"/>
    <w:rsid w:val="00F73559"/>
    <w:rsid w:val="00F739D9"/>
    <w:rsid w:val="00F740F7"/>
    <w:rsid w:val="00F74444"/>
    <w:rsid w:val="00F7477A"/>
    <w:rsid w:val="00F74986"/>
    <w:rsid w:val="00F74B01"/>
    <w:rsid w:val="00F74EE9"/>
    <w:rsid w:val="00F7511F"/>
    <w:rsid w:val="00F75484"/>
    <w:rsid w:val="00F76259"/>
    <w:rsid w:val="00F76660"/>
    <w:rsid w:val="00F76C78"/>
    <w:rsid w:val="00F7712F"/>
    <w:rsid w:val="00F774F2"/>
    <w:rsid w:val="00F776B7"/>
    <w:rsid w:val="00F77736"/>
    <w:rsid w:val="00F77977"/>
    <w:rsid w:val="00F77C51"/>
    <w:rsid w:val="00F80FBF"/>
    <w:rsid w:val="00F815FC"/>
    <w:rsid w:val="00F81614"/>
    <w:rsid w:val="00F8172B"/>
    <w:rsid w:val="00F8189C"/>
    <w:rsid w:val="00F81EB2"/>
    <w:rsid w:val="00F823D9"/>
    <w:rsid w:val="00F82732"/>
    <w:rsid w:val="00F82815"/>
    <w:rsid w:val="00F82C92"/>
    <w:rsid w:val="00F834D7"/>
    <w:rsid w:val="00F83998"/>
    <w:rsid w:val="00F83ACD"/>
    <w:rsid w:val="00F84017"/>
    <w:rsid w:val="00F8453C"/>
    <w:rsid w:val="00F84744"/>
    <w:rsid w:val="00F84ACF"/>
    <w:rsid w:val="00F8539F"/>
    <w:rsid w:val="00F854FB"/>
    <w:rsid w:val="00F8566F"/>
    <w:rsid w:val="00F85C4B"/>
    <w:rsid w:val="00F85E2C"/>
    <w:rsid w:val="00F86035"/>
    <w:rsid w:val="00F86651"/>
    <w:rsid w:val="00F8672E"/>
    <w:rsid w:val="00F869CA"/>
    <w:rsid w:val="00F86D78"/>
    <w:rsid w:val="00F86DFC"/>
    <w:rsid w:val="00F87081"/>
    <w:rsid w:val="00F873C2"/>
    <w:rsid w:val="00F877E9"/>
    <w:rsid w:val="00F87889"/>
    <w:rsid w:val="00F87CF6"/>
    <w:rsid w:val="00F87DF8"/>
    <w:rsid w:val="00F87F67"/>
    <w:rsid w:val="00F87FC5"/>
    <w:rsid w:val="00F903EA"/>
    <w:rsid w:val="00F9056F"/>
    <w:rsid w:val="00F905C7"/>
    <w:rsid w:val="00F908B0"/>
    <w:rsid w:val="00F920D2"/>
    <w:rsid w:val="00F9263A"/>
    <w:rsid w:val="00F928B7"/>
    <w:rsid w:val="00F92AC1"/>
    <w:rsid w:val="00F92D4D"/>
    <w:rsid w:val="00F93B6F"/>
    <w:rsid w:val="00F93F9E"/>
    <w:rsid w:val="00F94044"/>
    <w:rsid w:val="00F94328"/>
    <w:rsid w:val="00F94AEA"/>
    <w:rsid w:val="00F95505"/>
    <w:rsid w:val="00F95946"/>
    <w:rsid w:val="00F95993"/>
    <w:rsid w:val="00F95A8A"/>
    <w:rsid w:val="00F9629C"/>
    <w:rsid w:val="00F9680C"/>
    <w:rsid w:val="00F968A1"/>
    <w:rsid w:val="00F97494"/>
    <w:rsid w:val="00F97C0E"/>
    <w:rsid w:val="00FA0780"/>
    <w:rsid w:val="00FA1132"/>
    <w:rsid w:val="00FA12A5"/>
    <w:rsid w:val="00FA19D5"/>
    <w:rsid w:val="00FA1FC8"/>
    <w:rsid w:val="00FA2480"/>
    <w:rsid w:val="00FA3371"/>
    <w:rsid w:val="00FA362A"/>
    <w:rsid w:val="00FA3704"/>
    <w:rsid w:val="00FA3E2C"/>
    <w:rsid w:val="00FA4216"/>
    <w:rsid w:val="00FA4ABD"/>
    <w:rsid w:val="00FA4DAE"/>
    <w:rsid w:val="00FA5116"/>
    <w:rsid w:val="00FA5281"/>
    <w:rsid w:val="00FA52E4"/>
    <w:rsid w:val="00FA5597"/>
    <w:rsid w:val="00FA5712"/>
    <w:rsid w:val="00FA58B5"/>
    <w:rsid w:val="00FA5914"/>
    <w:rsid w:val="00FA5EBD"/>
    <w:rsid w:val="00FA65B8"/>
    <w:rsid w:val="00FA677B"/>
    <w:rsid w:val="00FA68C5"/>
    <w:rsid w:val="00FA690A"/>
    <w:rsid w:val="00FA6D79"/>
    <w:rsid w:val="00FA6EB4"/>
    <w:rsid w:val="00FA73D7"/>
    <w:rsid w:val="00FA786F"/>
    <w:rsid w:val="00FA7A3C"/>
    <w:rsid w:val="00FB0025"/>
    <w:rsid w:val="00FB05B1"/>
    <w:rsid w:val="00FB06C7"/>
    <w:rsid w:val="00FB0EEE"/>
    <w:rsid w:val="00FB145A"/>
    <w:rsid w:val="00FB1545"/>
    <w:rsid w:val="00FB1B9C"/>
    <w:rsid w:val="00FB1C71"/>
    <w:rsid w:val="00FB1CAA"/>
    <w:rsid w:val="00FB2262"/>
    <w:rsid w:val="00FB290B"/>
    <w:rsid w:val="00FB2AEA"/>
    <w:rsid w:val="00FB30F7"/>
    <w:rsid w:val="00FB343D"/>
    <w:rsid w:val="00FB393F"/>
    <w:rsid w:val="00FB3A8B"/>
    <w:rsid w:val="00FB3B10"/>
    <w:rsid w:val="00FB4243"/>
    <w:rsid w:val="00FB43B2"/>
    <w:rsid w:val="00FB47D5"/>
    <w:rsid w:val="00FB4926"/>
    <w:rsid w:val="00FB49C5"/>
    <w:rsid w:val="00FB5B06"/>
    <w:rsid w:val="00FB5D24"/>
    <w:rsid w:val="00FB5D50"/>
    <w:rsid w:val="00FB5E84"/>
    <w:rsid w:val="00FB657C"/>
    <w:rsid w:val="00FB661D"/>
    <w:rsid w:val="00FB6BA5"/>
    <w:rsid w:val="00FB6BF8"/>
    <w:rsid w:val="00FB6E31"/>
    <w:rsid w:val="00FB762D"/>
    <w:rsid w:val="00FB7B9E"/>
    <w:rsid w:val="00FB7C19"/>
    <w:rsid w:val="00FB7D9C"/>
    <w:rsid w:val="00FC0098"/>
    <w:rsid w:val="00FC01AB"/>
    <w:rsid w:val="00FC0332"/>
    <w:rsid w:val="00FC0392"/>
    <w:rsid w:val="00FC0D0A"/>
    <w:rsid w:val="00FC12E5"/>
    <w:rsid w:val="00FC1814"/>
    <w:rsid w:val="00FC20BB"/>
    <w:rsid w:val="00FC2474"/>
    <w:rsid w:val="00FC2B54"/>
    <w:rsid w:val="00FC2EC1"/>
    <w:rsid w:val="00FC389B"/>
    <w:rsid w:val="00FC38D0"/>
    <w:rsid w:val="00FC3C65"/>
    <w:rsid w:val="00FC3C67"/>
    <w:rsid w:val="00FC3EA6"/>
    <w:rsid w:val="00FC4465"/>
    <w:rsid w:val="00FC4492"/>
    <w:rsid w:val="00FC5324"/>
    <w:rsid w:val="00FC538D"/>
    <w:rsid w:val="00FC55CD"/>
    <w:rsid w:val="00FC5D5D"/>
    <w:rsid w:val="00FC5F14"/>
    <w:rsid w:val="00FC619C"/>
    <w:rsid w:val="00FC6622"/>
    <w:rsid w:val="00FC68F4"/>
    <w:rsid w:val="00FC6B5A"/>
    <w:rsid w:val="00FC7374"/>
    <w:rsid w:val="00FC7667"/>
    <w:rsid w:val="00FC7739"/>
    <w:rsid w:val="00FC7ACF"/>
    <w:rsid w:val="00FC7DE0"/>
    <w:rsid w:val="00FC7F68"/>
    <w:rsid w:val="00FD00DA"/>
    <w:rsid w:val="00FD06C1"/>
    <w:rsid w:val="00FD0AB1"/>
    <w:rsid w:val="00FD107E"/>
    <w:rsid w:val="00FD1245"/>
    <w:rsid w:val="00FD149C"/>
    <w:rsid w:val="00FD1613"/>
    <w:rsid w:val="00FD16B9"/>
    <w:rsid w:val="00FD17B5"/>
    <w:rsid w:val="00FD1DF5"/>
    <w:rsid w:val="00FD1F41"/>
    <w:rsid w:val="00FD200C"/>
    <w:rsid w:val="00FD2192"/>
    <w:rsid w:val="00FD2245"/>
    <w:rsid w:val="00FD2383"/>
    <w:rsid w:val="00FD246B"/>
    <w:rsid w:val="00FD2A24"/>
    <w:rsid w:val="00FD2AAC"/>
    <w:rsid w:val="00FD3567"/>
    <w:rsid w:val="00FD3859"/>
    <w:rsid w:val="00FD3EE0"/>
    <w:rsid w:val="00FD4041"/>
    <w:rsid w:val="00FD4432"/>
    <w:rsid w:val="00FD471B"/>
    <w:rsid w:val="00FD471E"/>
    <w:rsid w:val="00FD4829"/>
    <w:rsid w:val="00FD50C3"/>
    <w:rsid w:val="00FD50C9"/>
    <w:rsid w:val="00FD66D5"/>
    <w:rsid w:val="00FD68CC"/>
    <w:rsid w:val="00FD6CD6"/>
    <w:rsid w:val="00FD6D1D"/>
    <w:rsid w:val="00FD78C5"/>
    <w:rsid w:val="00FE02BD"/>
    <w:rsid w:val="00FE0BAA"/>
    <w:rsid w:val="00FE1C21"/>
    <w:rsid w:val="00FE1E0B"/>
    <w:rsid w:val="00FE21A4"/>
    <w:rsid w:val="00FE2222"/>
    <w:rsid w:val="00FE22F1"/>
    <w:rsid w:val="00FE2534"/>
    <w:rsid w:val="00FE2BC4"/>
    <w:rsid w:val="00FE2D91"/>
    <w:rsid w:val="00FE3054"/>
    <w:rsid w:val="00FE311B"/>
    <w:rsid w:val="00FE34BB"/>
    <w:rsid w:val="00FE3516"/>
    <w:rsid w:val="00FE3784"/>
    <w:rsid w:val="00FE3A3E"/>
    <w:rsid w:val="00FE3B7A"/>
    <w:rsid w:val="00FE494E"/>
    <w:rsid w:val="00FE5173"/>
    <w:rsid w:val="00FE58E8"/>
    <w:rsid w:val="00FE59C6"/>
    <w:rsid w:val="00FE5E4C"/>
    <w:rsid w:val="00FE5F0A"/>
    <w:rsid w:val="00FE64B9"/>
    <w:rsid w:val="00FE65CE"/>
    <w:rsid w:val="00FE66B5"/>
    <w:rsid w:val="00FE66EB"/>
    <w:rsid w:val="00FE67B7"/>
    <w:rsid w:val="00FE7673"/>
    <w:rsid w:val="00FF0352"/>
    <w:rsid w:val="00FF0559"/>
    <w:rsid w:val="00FF0725"/>
    <w:rsid w:val="00FF0967"/>
    <w:rsid w:val="00FF09B9"/>
    <w:rsid w:val="00FF0B1C"/>
    <w:rsid w:val="00FF0D4F"/>
    <w:rsid w:val="00FF1323"/>
    <w:rsid w:val="00FF1F03"/>
    <w:rsid w:val="00FF1FA0"/>
    <w:rsid w:val="00FF204D"/>
    <w:rsid w:val="00FF214B"/>
    <w:rsid w:val="00FF2479"/>
    <w:rsid w:val="00FF2EB1"/>
    <w:rsid w:val="00FF337C"/>
    <w:rsid w:val="00FF3457"/>
    <w:rsid w:val="00FF46A6"/>
    <w:rsid w:val="00FF49E6"/>
    <w:rsid w:val="00FF4E01"/>
    <w:rsid w:val="00FF4E88"/>
    <w:rsid w:val="00FF535B"/>
    <w:rsid w:val="00FF560C"/>
    <w:rsid w:val="00FF5EAC"/>
    <w:rsid w:val="00FF6451"/>
    <w:rsid w:val="00FF6D2B"/>
    <w:rsid w:val="01040F41"/>
    <w:rsid w:val="01E6627A"/>
    <w:rsid w:val="02AD3A6D"/>
    <w:rsid w:val="02AD7AC3"/>
    <w:rsid w:val="02C2532C"/>
    <w:rsid w:val="02E76A9A"/>
    <w:rsid w:val="03056780"/>
    <w:rsid w:val="03F139E0"/>
    <w:rsid w:val="044C0C16"/>
    <w:rsid w:val="047772AB"/>
    <w:rsid w:val="051E25B2"/>
    <w:rsid w:val="05AFB2C6"/>
    <w:rsid w:val="05D62E8D"/>
    <w:rsid w:val="064B2960"/>
    <w:rsid w:val="066E7569"/>
    <w:rsid w:val="06E45A7E"/>
    <w:rsid w:val="06EB3A11"/>
    <w:rsid w:val="06EE3434"/>
    <w:rsid w:val="06F4715D"/>
    <w:rsid w:val="07866B35"/>
    <w:rsid w:val="07C027CD"/>
    <w:rsid w:val="092B34F0"/>
    <w:rsid w:val="09551DFA"/>
    <w:rsid w:val="0992356F"/>
    <w:rsid w:val="09EFA642"/>
    <w:rsid w:val="0A134713"/>
    <w:rsid w:val="0AA40A61"/>
    <w:rsid w:val="0AD67BFB"/>
    <w:rsid w:val="0B3F6E6A"/>
    <w:rsid w:val="0C3440DB"/>
    <w:rsid w:val="0C6328FC"/>
    <w:rsid w:val="0C8A0CBF"/>
    <w:rsid w:val="0D2005D6"/>
    <w:rsid w:val="0D870F11"/>
    <w:rsid w:val="0EA224A6"/>
    <w:rsid w:val="112A77E0"/>
    <w:rsid w:val="11B12A00"/>
    <w:rsid w:val="11F8108C"/>
    <w:rsid w:val="12865C3B"/>
    <w:rsid w:val="12D33451"/>
    <w:rsid w:val="13AA5959"/>
    <w:rsid w:val="14535FF1"/>
    <w:rsid w:val="146D2C0E"/>
    <w:rsid w:val="14BC1DE8"/>
    <w:rsid w:val="15A56870"/>
    <w:rsid w:val="166108FF"/>
    <w:rsid w:val="17103D25"/>
    <w:rsid w:val="176608CA"/>
    <w:rsid w:val="17A80401"/>
    <w:rsid w:val="17F3E654"/>
    <w:rsid w:val="18117D55"/>
    <w:rsid w:val="18782DEF"/>
    <w:rsid w:val="19744A3F"/>
    <w:rsid w:val="1995195D"/>
    <w:rsid w:val="19E66D95"/>
    <w:rsid w:val="19F53DD2"/>
    <w:rsid w:val="1AB75BA5"/>
    <w:rsid w:val="1AD17744"/>
    <w:rsid w:val="1B010DB0"/>
    <w:rsid w:val="1B432FF8"/>
    <w:rsid w:val="1BF654C2"/>
    <w:rsid w:val="1BF754B3"/>
    <w:rsid w:val="1C2C7063"/>
    <w:rsid w:val="1CEC0D90"/>
    <w:rsid w:val="1E65704C"/>
    <w:rsid w:val="1E7A2AF8"/>
    <w:rsid w:val="1EDA3596"/>
    <w:rsid w:val="1EDA43A3"/>
    <w:rsid w:val="1EF83A1C"/>
    <w:rsid w:val="1F100D66"/>
    <w:rsid w:val="1F3C110E"/>
    <w:rsid w:val="1F8A35EE"/>
    <w:rsid w:val="1FA80CFB"/>
    <w:rsid w:val="1FB8E663"/>
    <w:rsid w:val="1FBD0787"/>
    <w:rsid w:val="1FC24B67"/>
    <w:rsid w:val="1FD3A4B5"/>
    <w:rsid w:val="201C6574"/>
    <w:rsid w:val="2063580D"/>
    <w:rsid w:val="20DB0769"/>
    <w:rsid w:val="20F62F93"/>
    <w:rsid w:val="210C31F9"/>
    <w:rsid w:val="21240AF9"/>
    <w:rsid w:val="212B2914"/>
    <w:rsid w:val="21653EF7"/>
    <w:rsid w:val="22393CEC"/>
    <w:rsid w:val="22A07822"/>
    <w:rsid w:val="22B06F09"/>
    <w:rsid w:val="22CA18AF"/>
    <w:rsid w:val="233A551A"/>
    <w:rsid w:val="236478D2"/>
    <w:rsid w:val="23E25FC2"/>
    <w:rsid w:val="23E62FBE"/>
    <w:rsid w:val="23E9602A"/>
    <w:rsid w:val="244E777C"/>
    <w:rsid w:val="24995D0B"/>
    <w:rsid w:val="249A30DA"/>
    <w:rsid w:val="256C3EAB"/>
    <w:rsid w:val="25B85589"/>
    <w:rsid w:val="25B96481"/>
    <w:rsid w:val="263742F2"/>
    <w:rsid w:val="2689526D"/>
    <w:rsid w:val="271351A0"/>
    <w:rsid w:val="279767CB"/>
    <w:rsid w:val="283B05A7"/>
    <w:rsid w:val="28DA0F6A"/>
    <w:rsid w:val="28E30FDD"/>
    <w:rsid w:val="295D729E"/>
    <w:rsid w:val="29910CF5"/>
    <w:rsid w:val="29D85AED"/>
    <w:rsid w:val="29DF7CB3"/>
    <w:rsid w:val="29EB7817"/>
    <w:rsid w:val="2AE32456"/>
    <w:rsid w:val="2AEA43CB"/>
    <w:rsid w:val="2BC453B2"/>
    <w:rsid w:val="2C831E81"/>
    <w:rsid w:val="2CBF7B05"/>
    <w:rsid w:val="2CDE7C26"/>
    <w:rsid w:val="2CF9552F"/>
    <w:rsid w:val="2D574DFE"/>
    <w:rsid w:val="2D75649B"/>
    <w:rsid w:val="2DC75416"/>
    <w:rsid w:val="2EF3FA0B"/>
    <w:rsid w:val="2FD1DB8C"/>
    <w:rsid w:val="2FDD10A0"/>
    <w:rsid w:val="30A112E4"/>
    <w:rsid w:val="30C85944"/>
    <w:rsid w:val="30FA1876"/>
    <w:rsid w:val="30FC28F8"/>
    <w:rsid w:val="30FD1498"/>
    <w:rsid w:val="31210BB1"/>
    <w:rsid w:val="31271F3F"/>
    <w:rsid w:val="3163566D"/>
    <w:rsid w:val="328A20D8"/>
    <w:rsid w:val="32935DAF"/>
    <w:rsid w:val="32A23EA9"/>
    <w:rsid w:val="32BD6E4F"/>
    <w:rsid w:val="33557238"/>
    <w:rsid w:val="335D4DF2"/>
    <w:rsid w:val="337ECC31"/>
    <w:rsid w:val="33962350"/>
    <w:rsid w:val="341575F6"/>
    <w:rsid w:val="34483503"/>
    <w:rsid w:val="349B7DB2"/>
    <w:rsid w:val="34A264AC"/>
    <w:rsid w:val="35396D2A"/>
    <w:rsid w:val="3550415A"/>
    <w:rsid w:val="35ED19A9"/>
    <w:rsid w:val="362C24D2"/>
    <w:rsid w:val="363D22FB"/>
    <w:rsid w:val="376B0DD8"/>
    <w:rsid w:val="37AC435C"/>
    <w:rsid w:val="37B17592"/>
    <w:rsid w:val="37B875E4"/>
    <w:rsid w:val="37C14E9C"/>
    <w:rsid w:val="37D5FCDE"/>
    <w:rsid w:val="382D0783"/>
    <w:rsid w:val="38AF484C"/>
    <w:rsid w:val="395B0E70"/>
    <w:rsid w:val="3A3951BD"/>
    <w:rsid w:val="3AA45590"/>
    <w:rsid w:val="3ABE1B66"/>
    <w:rsid w:val="3AC27952"/>
    <w:rsid w:val="3ACA050B"/>
    <w:rsid w:val="3B0C1DA1"/>
    <w:rsid w:val="3B14501B"/>
    <w:rsid w:val="3B661BCE"/>
    <w:rsid w:val="3B87B597"/>
    <w:rsid w:val="3C110A75"/>
    <w:rsid w:val="3C495977"/>
    <w:rsid w:val="3C63679D"/>
    <w:rsid w:val="3C9E2A58"/>
    <w:rsid w:val="3CAA23A2"/>
    <w:rsid w:val="3D6F0EF6"/>
    <w:rsid w:val="3D72771B"/>
    <w:rsid w:val="3DA60DBB"/>
    <w:rsid w:val="3DBDFD81"/>
    <w:rsid w:val="3DFDC1DA"/>
    <w:rsid w:val="3E080DD2"/>
    <w:rsid w:val="3E2D3516"/>
    <w:rsid w:val="3E3C1E31"/>
    <w:rsid w:val="3ECD9F8A"/>
    <w:rsid w:val="3F3C353C"/>
    <w:rsid w:val="3F6A006C"/>
    <w:rsid w:val="3FB7A6C9"/>
    <w:rsid w:val="3FBDAD6D"/>
    <w:rsid w:val="3FECCE77"/>
    <w:rsid w:val="3FFA2E04"/>
    <w:rsid w:val="401E47B0"/>
    <w:rsid w:val="40436CAD"/>
    <w:rsid w:val="413761CE"/>
    <w:rsid w:val="41826939"/>
    <w:rsid w:val="420E56D4"/>
    <w:rsid w:val="42226EC9"/>
    <w:rsid w:val="42A43E5F"/>
    <w:rsid w:val="43D9356D"/>
    <w:rsid w:val="43F32881"/>
    <w:rsid w:val="44017D92"/>
    <w:rsid w:val="44250560"/>
    <w:rsid w:val="45943BEF"/>
    <w:rsid w:val="45BB3B2F"/>
    <w:rsid w:val="46666C82"/>
    <w:rsid w:val="46B856BC"/>
    <w:rsid w:val="47362310"/>
    <w:rsid w:val="473C5EFF"/>
    <w:rsid w:val="474451A1"/>
    <w:rsid w:val="47EF15B1"/>
    <w:rsid w:val="480B588F"/>
    <w:rsid w:val="48684EBF"/>
    <w:rsid w:val="48B41A2D"/>
    <w:rsid w:val="4924528A"/>
    <w:rsid w:val="4A237F30"/>
    <w:rsid w:val="4A842484"/>
    <w:rsid w:val="4BC845F3"/>
    <w:rsid w:val="4BD9235C"/>
    <w:rsid w:val="4C215AB1"/>
    <w:rsid w:val="4C5C6A36"/>
    <w:rsid w:val="4CA50490"/>
    <w:rsid w:val="4CA566E2"/>
    <w:rsid w:val="4CE60426"/>
    <w:rsid w:val="4CF3744D"/>
    <w:rsid w:val="4D10167A"/>
    <w:rsid w:val="4D2F41FE"/>
    <w:rsid w:val="4D3116FB"/>
    <w:rsid w:val="4DD70FFB"/>
    <w:rsid w:val="4EAA634B"/>
    <w:rsid w:val="4F166E11"/>
    <w:rsid w:val="4FF742B2"/>
    <w:rsid w:val="4FFFAC4D"/>
    <w:rsid w:val="50D6330E"/>
    <w:rsid w:val="50F10148"/>
    <w:rsid w:val="51694667"/>
    <w:rsid w:val="520A7877"/>
    <w:rsid w:val="5281007D"/>
    <w:rsid w:val="53A45945"/>
    <w:rsid w:val="53DB1C68"/>
    <w:rsid w:val="54070F10"/>
    <w:rsid w:val="55173EF5"/>
    <w:rsid w:val="557036FB"/>
    <w:rsid w:val="55986DE4"/>
    <w:rsid w:val="55DD0C9B"/>
    <w:rsid w:val="56C8194B"/>
    <w:rsid w:val="56FF4636"/>
    <w:rsid w:val="570D3802"/>
    <w:rsid w:val="574C432A"/>
    <w:rsid w:val="57711FE2"/>
    <w:rsid w:val="57E97DCB"/>
    <w:rsid w:val="583B1BAF"/>
    <w:rsid w:val="58705DF6"/>
    <w:rsid w:val="599B3347"/>
    <w:rsid w:val="59FEFA81"/>
    <w:rsid w:val="5ACC12DE"/>
    <w:rsid w:val="5BFF6FD3"/>
    <w:rsid w:val="5C6018B8"/>
    <w:rsid w:val="5CAC13C7"/>
    <w:rsid w:val="5CF875C3"/>
    <w:rsid w:val="5D34336C"/>
    <w:rsid w:val="5D3E3725"/>
    <w:rsid w:val="5D440AD7"/>
    <w:rsid w:val="5EF72140"/>
    <w:rsid w:val="5F125E59"/>
    <w:rsid w:val="5F390900"/>
    <w:rsid w:val="5F661D01"/>
    <w:rsid w:val="5FCFD0AE"/>
    <w:rsid w:val="5FFE9089"/>
    <w:rsid w:val="601C6864"/>
    <w:rsid w:val="608955A5"/>
    <w:rsid w:val="60A778DC"/>
    <w:rsid w:val="61372CFE"/>
    <w:rsid w:val="621256DA"/>
    <w:rsid w:val="62402CDD"/>
    <w:rsid w:val="6267026A"/>
    <w:rsid w:val="636752E9"/>
    <w:rsid w:val="63CB3AFD"/>
    <w:rsid w:val="63D417EA"/>
    <w:rsid w:val="64636AC3"/>
    <w:rsid w:val="64B11C70"/>
    <w:rsid w:val="64FE48E3"/>
    <w:rsid w:val="65820E39"/>
    <w:rsid w:val="65931376"/>
    <w:rsid w:val="66104F0F"/>
    <w:rsid w:val="667A2463"/>
    <w:rsid w:val="66B5531C"/>
    <w:rsid w:val="66F91A08"/>
    <w:rsid w:val="677156E7"/>
    <w:rsid w:val="678F23BD"/>
    <w:rsid w:val="679F2A5E"/>
    <w:rsid w:val="67A4786A"/>
    <w:rsid w:val="67BDDE80"/>
    <w:rsid w:val="691C78D4"/>
    <w:rsid w:val="6A1F3D5D"/>
    <w:rsid w:val="6A660DD6"/>
    <w:rsid w:val="6ACFD9E5"/>
    <w:rsid w:val="6BB7114F"/>
    <w:rsid w:val="6BFEF169"/>
    <w:rsid w:val="6BFF1617"/>
    <w:rsid w:val="6C380ECF"/>
    <w:rsid w:val="6C4C227F"/>
    <w:rsid w:val="6C6C46CF"/>
    <w:rsid w:val="6C9F4AA4"/>
    <w:rsid w:val="6D0F39D8"/>
    <w:rsid w:val="6D2A25C0"/>
    <w:rsid w:val="6DDC6D6B"/>
    <w:rsid w:val="6DFF123B"/>
    <w:rsid w:val="6E3AE760"/>
    <w:rsid w:val="6E7A9A06"/>
    <w:rsid w:val="6F6248DC"/>
    <w:rsid w:val="6F8F7052"/>
    <w:rsid w:val="6F92005D"/>
    <w:rsid w:val="6FAB7A06"/>
    <w:rsid w:val="6FED3371"/>
    <w:rsid w:val="70365095"/>
    <w:rsid w:val="70EB475C"/>
    <w:rsid w:val="713F0604"/>
    <w:rsid w:val="71A22EB7"/>
    <w:rsid w:val="720A7E56"/>
    <w:rsid w:val="72734A09"/>
    <w:rsid w:val="737788D3"/>
    <w:rsid w:val="73BF162B"/>
    <w:rsid w:val="752766EE"/>
    <w:rsid w:val="75BF26A1"/>
    <w:rsid w:val="75CB4B5C"/>
    <w:rsid w:val="75EA6D90"/>
    <w:rsid w:val="76685F07"/>
    <w:rsid w:val="76D637B8"/>
    <w:rsid w:val="76F12627"/>
    <w:rsid w:val="7773C161"/>
    <w:rsid w:val="77BA09E4"/>
    <w:rsid w:val="77BECFD0"/>
    <w:rsid w:val="77DDBA12"/>
    <w:rsid w:val="77EF00F8"/>
    <w:rsid w:val="77F208A1"/>
    <w:rsid w:val="789126CE"/>
    <w:rsid w:val="79866A11"/>
    <w:rsid w:val="79DD8199"/>
    <w:rsid w:val="79DF0A6E"/>
    <w:rsid w:val="79F34587"/>
    <w:rsid w:val="79FE805A"/>
    <w:rsid w:val="7A124B07"/>
    <w:rsid w:val="7A196F60"/>
    <w:rsid w:val="7A275136"/>
    <w:rsid w:val="7B3D9C69"/>
    <w:rsid w:val="7B705F89"/>
    <w:rsid w:val="7BEA8B14"/>
    <w:rsid w:val="7BF34F46"/>
    <w:rsid w:val="7BF75639"/>
    <w:rsid w:val="7C0D37D8"/>
    <w:rsid w:val="7C0E7550"/>
    <w:rsid w:val="7C5533D1"/>
    <w:rsid w:val="7C5B09E8"/>
    <w:rsid w:val="7C9A0A1F"/>
    <w:rsid w:val="7CDBCBF8"/>
    <w:rsid w:val="7CFF4FD5"/>
    <w:rsid w:val="7D2174B0"/>
    <w:rsid w:val="7D2B3D77"/>
    <w:rsid w:val="7D6A8B4E"/>
    <w:rsid w:val="7DB26218"/>
    <w:rsid w:val="7DBB62AA"/>
    <w:rsid w:val="7DDA5D5D"/>
    <w:rsid w:val="7DDBC771"/>
    <w:rsid w:val="7DFED132"/>
    <w:rsid w:val="7DFF98A6"/>
    <w:rsid w:val="7E4E2C64"/>
    <w:rsid w:val="7E5020A2"/>
    <w:rsid w:val="7EBFFDF4"/>
    <w:rsid w:val="7EDB8BE2"/>
    <w:rsid w:val="7EF17255"/>
    <w:rsid w:val="7EF758ED"/>
    <w:rsid w:val="7EFFE2B6"/>
    <w:rsid w:val="7FB3AD87"/>
    <w:rsid w:val="7FDA0785"/>
    <w:rsid w:val="7FEED1B4"/>
    <w:rsid w:val="7FF1665B"/>
    <w:rsid w:val="7FF31CF5"/>
    <w:rsid w:val="7FF34022"/>
    <w:rsid w:val="7FFB743B"/>
    <w:rsid w:val="7FFE4C54"/>
    <w:rsid w:val="7FFF03CE"/>
    <w:rsid w:val="7FFFAC54"/>
    <w:rsid w:val="8EE782DB"/>
    <w:rsid w:val="8EF62D6D"/>
    <w:rsid w:val="97731B54"/>
    <w:rsid w:val="9BA6D85D"/>
    <w:rsid w:val="9D7B49BB"/>
    <w:rsid w:val="9E5F870B"/>
    <w:rsid w:val="9E9FBC9A"/>
    <w:rsid w:val="ABD31C96"/>
    <w:rsid w:val="ABF6C109"/>
    <w:rsid w:val="AEB5075A"/>
    <w:rsid w:val="AFD7A0DB"/>
    <w:rsid w:val="B35F32A3"/>
    <w:rsid w:val="B45FCC1A"/>
    <w:rsid w:val="B5FB89AD"/>
    <w:rsid w:val="B7AD4D75"/>
    <w:rsid w:val="B7DC78C8"/>
    <w:rsid w:val="B9DE01B8"/>
    <w:rsid w:val="BA7BCB91"/>
    <w:rsid w:val="BAF93AE5"/>
    <w:rsid w:val="BCF56F9C"/>
    <w:rsid w:val="BECEB9CC"/>
    <w:rsid w:val="BEFE17F8"/>
    <w:rsid w:val="BF8DF03D"/>
    <w:rsid w:val="BFDFE929"/>
    <w:rsid w:val="BFE97940"/>
    <w:rsid w:val="C7043327"/>
    <w:rsid w:val="CA67AA7F"/>
    <w:rsid w:val="CBF39E17"/>
    <w:rsid w:val="CD7FD3D1"/>
    <w:rsid w:val="CFF6F0A3"/>
    <w:rsid w:val="D1BF2BD3"/>
    <w:rsid w:val="D3EFE420"/>
    <w:rsid w:val="D3FE04F4"/>
    <w:rsid w:val="D4EC6C16"/>
    <w:rsid w:val="D5FD3486"/>
    <w:rsid w:val="D733976C"/>
    <w:rsid w:val="D7EF0298"/>
    <w:rsid w:val="DB775F46"/>
    <w:rsid w:val="DE5958B8"/>
    <w:rsid w:val="DEA763ED"/>
    <w:rsid w:val="DEDE35B2"/>
    <w:rsid w:val="DEED9DB2"/>
    <w:rsid w:val="DF3F87CB"/>
    <w:rsid w:val="DF5FC692"/>
    <w:rsid w:val="DFEF7932"/>
    <w:rsid w:val="DFF31D58"/>
    <w:rsid w:val="DFF457A1"/>
    <w:rsid w:val="E4F382BE"/>
    <w:rsid w:val="E729486A"/>
    <w:rsid w:val="E7DF197F"/>
    <w:rsid w:val="E95D6D0C"/>
    <w:rsid w:val="EF61F737"/>
    <w:rsid w:val="EFFB93DA"/>
    <w:rsid w:val="EFFF9C2A"/>
    <w:rsid w:val="F2F76FE7"/>
    <w:rsid w:val="F3EB6D10"/>
    <w:rsid w:val="F6B7CD09"/>
    <w:rsid w:val="F6DC3A66"/>
    <w:rsid w:val="F76D2ED2"/>
    <w:rsid w:val="F7DFCDEC"/>
    <w:rsid w:val="F7F6709C"/>
    <w:rsid w:val="F7FD4134"/>
    <w:rsid w:val="F7FDBA04"/>
    <w:rsid w:val="F9A68F6A"/>
    <w:rsid w:val="F9DE8285"/>
    <w:rsid w:val="FAFF81F9"/>
    <w:rsid w:val="FB8E83B8"/>
    <w:rsid w:val="FBBEEF16"/>
    <w:rsid w:val="FBF16424"/>
    <w:rsid w:val="FBFB787A"/>
    <w:rsid w:val="FBFF5996"/>
    <w:rsid w:val="FBFFBEC9"/>
    <w:rsid w:val="FCBFDBF9"/>
    <w:rsid w:val="FD5F5466"/>
    <w:rsid w:val="FD6E2529"/>
    <w:rsid w:val="FD7F2249"/>
    <w:rsid w:val="FDB72861"/>
    <w:rsid w:val="FE7BF3AC"/>
    <w:rsid w:val="FE7D8F24"/>
    <w:rsid w:val="FE7F604A"/>
    <w:rsid w:val="FEFF2354"/>
    <w:rsid w:val="FF2F8E0A"/>
    <w:rsid w:val="FFDF0A61"/>
    <w:rsid w:val="FFF78799"/>
    <w:rsid w:val="FFFE6A45"/>
    <w:rsid w:val="FFFE6BBF"/>
    <w:rsid w:val="FFFFB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line="360" w:lineRule="auto"/>
      <w:outlineLvl w:val="1"/>
    </w:pPr>
    <w:rPr>
      <w:rFonts w:eastAsia="仿宋" w:asciiTheme="majorHAnsi" w:hAnsiTheme="majorHAnsi" w:cstheme="majorBidi"/>
      <w:b/>
      <w:bCs/>
      <w:sz w:val="30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5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0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5"/>
    <w:next w:val="5"/>
    <w:link w:val="23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unhideWhenUsed/>
    <w:qFormat/>
    <w:uiPriority w:val="99"/>
    <w:rPr>
      <w:vertAlign w:val="superscript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标题 1 Char"/>
    <w:basedOn w:val="12"/>
    <w:link w:val="2"/>
    <w:qFormat/>
    <w:uiPriority w:val="9"/>
    <w:rPr>
      <w:rFonts w:eastAsia="黑体" w:asciiTheme="minorHAnsi" w:hAnsiTheme="minorHAnsi" w:cstheme="minorBidi"/>
      <w:bCs/>
      <w:kern w:val="44"/>
      <w:sz w:val="32"/>
      <w:szCs w:val="44"/>
    </w:rPr>
  </w:style>
  <w:style w:type="character" w:customStyle="1" w:styleId="18">
    <w:name w:val="标题 2 Char"/>
    <w:basedOn w:val="12"/>
    <w:link w:val="3"/>
    <w:qFormat/>
    <w:uiPriority w:val="9"/>
    <w:rPr>
      <w:rFonts w:eastAsia="仿宋" w:asciiTheme="majorHAnsi" w:hAnsiTheme="majorHAnsi" w:cstheme="majorBidi"/>
      <w:b/>
      <w:bCs/>
      <w:sz w:val="30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脚注文本 Char"/>
    <w:basedOn w:val="12"/>
    <w:link w:val="9"/>
    <w:qFormat/>
    <w:uiPriority w:val="99"/>
    <w:rPr>
      <w:sz w:val="18"/>
      <w:szCs w:val="18"/>
    </w:rPr>
  </w:style>
  <w:style w:type="character" w:customStyle="1" w:styleId="21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2">
    <w:name w:val="批注文字 Char"/>
    <w:basedOn w:val="12"/>
    <w:link w:val="5"/>
    <w:semiHidden/>
    <w:qFormat/>
    <w:uiPriority w:val="99"/>
  </w:style>
  <w:style w:type="character" w:customStyle="1" w:styleId="23">
    <w:name w:val="批注主题 Char"/>
    <w:basedOn w:val="22"/>
    <w:link w:val="10"/>
    <w:semiHidden/>
    <w:qFormat/>
    <w:uiPriority w:val="99"/>
    <w:rPr>
      <w:b/>
      <w:bCs/>
    </w:rPr>
  </w:style>
  <w:style w:type="paragraph" w:customStyle="1" w:styleId="2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25">
    <w:name w:val="网格表 3 - 着色 51"/>
    <w:basedOn w:val="11"/>
    <w:qFormat/>
    <w:uiPriority w:val="48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26">
    <w:name w:val="网格表 1 浅色1"/>
    <w:basedOn w:val="11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">
    <w:name w:val="网格表 1 浅色 - 着色 51"/>
    <w:basedOn w:val="11"/>
    <w:qFormat/>
    <w:uiPriority w:val="46"/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">
    <w:name w:val="网格表 1 浅色 - 着色 21"/>
    <w:basedOn w:val="11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">
    <w:name w:val="网格表 2 - 着色 11"/>
    <w:basedOn w:val="11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0">
    <w:name w:val="清单表 1 浅色 - 着色 11"/>
    <w:basedOn w:val="11"/>
    <w:qFormat/>
    <w:uiPriority w:val="46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1">
    <w:name w:val="清单表 2 - 着色 11"/>
    <w:basedOn w:val="11"/>
    <w:qFormat/>
    <w:uiPriority w:val="47"/>
    <w:tblPr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3 - 着色 11"/>
    <w:basedOn w:val="11"/>
    <w:qFormat/>
    <w:uiPriority w:val="48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33">
    <w:name w:val="网格表 6 彩色 - 着色 11"/>
    <w:basedOn w:val="11"/>
    <w:qFormat/>
    <w:uiPriority w:val="51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4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35">
    <w:name w:val="网格表 2 - 着色 51"/>
    <w:basedOn w:val="11"/>
    <w:qFormat/>
    <w:uiPriority w:val="47"/>
    <w:tblPr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C21F538E-C1FE-48BB-B3ED-CF59E789DA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753</Words>
  <Characters>4296</Characters>
  <Lines>35</Lines>
  <Paragraphs>10</Paragraphs>
  <TotalTime>13</TotalTime>
  <ScaleCrop>false</ScaleCrop>
  <LinksUpToDate>false</LinksUpToDate>
  <CharactersWithSpaces>5039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2026-01-30T09:15:00Z</dcterms:created>
  <dc:creator>刘晓进</dc:creator>
  <cp:lastModifiedBy>xuchengji</cp:lastModifiedBy>
  <cp:lastPrinted>2025-07-28T15:49:00Z</cp:lastPrinted>
  <dcterms:modified xsi:type="dcterms:W3CDTF">2026-08-06T09:14:48Z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D186F5AE485D1A17C52F706AF3D9F2D5_43</vt:lpwstr>
  </property>
</Properties>
</file>