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/>
        <w:jc w:val="center"/>
        <w:rPr>
          <w:rFonts w:ascii="Arial" w:hAnsi="Arial" w:eastAsia="黑体" w:cs="Arial"/>
          <w:sz w:val="36"/>
          <w:szCs w:val="36"/>
          <w:lang w:eastAsia="zh-CN"/>
        </w:rPr>
      </w:pPr>
      <w:bookmarkStart w:id="0" w:name="_GoBack"/>
      <w:bookmarkEnd w:id="0"/>
    </w:p>
    <w:p>
      <w:pPr>
        <w:pStyle w:val="4"/>
        <w:spacing w:after="156" w:afterLines="50" w:line="560" w:lineRule="exact"/>
        <w:jc w:val="center"/>
        <w:rPr>
          <w:rFonts w:ascii="Arial" w:hAnsi="Arial" w:eastAsia="黑体" w:cs="Arial"/>
          <w:sz w:val="36"/>
          <w:szCs w:val="36"/>
          <w:lang w:eastAsia="zh-CN"/>
        </w:rPr>
      </w:pPr>
      <w:r>
        <w:rPr>
          <w:rFonts w:hint="eastAsia" w:ascii="Arial" w:hAnsi="Arial" w:eastAsia="黑体" w:cs="Arial"/>
          <w:sz w:val="36"/>
          <w:szCs w:val="36"/>
          <w:lang w:eastAsia="zh-CN"/>
        </w:rPr>
        <w:t>境外主权类机构投资者业务申请表（商业银行代理）</w:t>
      </w:r>
    </w:p>
    <w:p>
      <w:pPr>
        <w:pStyle w:val="4"/>
        <w:spacing w:after="156" w:afterLines="50"/>
        <w:jc w:val="center"/>
        <w:rPr>
          <w:rFonts w:ascii="Times New Roman" w:hAnsi="Times New Roman" w:eastAsia="黑体"/>
          <w:b/>
          <w:bCs/>
          <w:kern w:val="2"/>
          <w:szCs w:val="36"/>
          <w:lang w:eastAsia="zh-CN"/>
        </w:rPr>
      </w:pPr>
      <w:r>
        <w:rPr>
          <w:rFonts w:ascii="Times New Roman" w:hAnsi="Times New Roman" w:eastAsia="黑体"/>
          <w:b/>
          <w:bCs/>
          <w:kern w:val="2"/>
          <w:szCs w:val="36"/>
          <w:lang w:eastAsia="zh-CN"/>
        </w:rPr>
        <w:t>Business Application Forms of Overseas S</w:t>
      </w:r>
      <w:r>
        <w:rPr>
          <w:rFonts w:hint="eastAsia" w:ascii="Times New Roman" w:hAnsi="Times New Roman" w:eastAsia="黑体"/>
          <w:b/>
          <w:bCs/>
          <w:kern w:val="2"/>
          <w:szCs w:val="36"/>
          <w:lang w:eastAsia="zh-CN"/>
        </w:rPr>
        <w:t>overeign</w:t>
      </w:r>
      <w:r>
        <w:rPr>
          <w:rFonts w:ascii="Times New Roman" w:hAnsi="Times New Roman" w:eastAsia="黑体"/>
          <w:b/>
          <w:bCs/>
          <w:kern w:val="2"/>
          <w:szCs w:val="36"/>
          <w:lang w:eastAsia="zh-CN"/>
        </w:rPr>
        <w:t xml:space="preserve"> Institutional Investors</w:t>
      </w:r>
    </w:p>
    <w:p>
      <w:pPr>
        <w:pStyle w:val="4"/>
        <w:spacing w:after="312" w:afterLines="100"/>
        <w:jc w:val="center"/>
        <w:rPr>
          <w:rFonts w:ascii="Times New Roman" w:hAnsi="Times New Roman" w:eastAsia="黑体"/>
          <w:b/>
          <w:bCs/>
          <w:kern w:val="2"/>
          <w:szCs w:val="36"/>
          <w:lang w:eastAsia="zh-CN"/>
        </w:rPr>
      </w:pPr>
      <w:r>
        <w:rPr>
          <w:rFonts w:ascii="Times New Roman" w:hAnsi="Times New Roman" w:eastAsia="黑体"/>
          <w:b/>
          <w:bCs/>
          <w:kern w:val="2"/>
          <w:szCs w:val="36"/>
          <w:lang w:eastAsia="zh-CN"/>
        </w:rPr>
        <w:t>(Entrusting Commercial Bank as Agents)</w:t>
      </w:r>
    </w:p>
    <w:p>
      <w:pPr>
        <w:pStyle w:val="4"/>
        <w:spacing w:after="240"/>
        <w:ind w:firstLine="482" w:firstLineChars="200"/>
        <w:jc w:val="left"/>
        <w:rPr>
          <w:rFonts w:ascii="宋体" w:hAnsi="宋体" w:eastAsia="PMingLiU" w:cs="Arial"/>
          <w:szCs w:val="24"/>
        </w:rPr>
      </w:pPr>
      <w:r>
        <w:rPr>
          <w:rFonts w:hint="eastAsia" w:ascii="宋体" w:hAnsi="宋体" w:eastAsia="宋体" w:cs="Arial"/>
          <w:b/>
          <w:szCs w:val="24"/>
        </w:rPr>
        <w:t>重要声明：</w:t>
      </w:r>
      <w:r>
        <w:rPr>
          <w:rFonts w:hint="eastAsia" w:ascii="宋体" w:hAnsi="宋体" w:eastAsia="宋体" w:cs="Arial"/>
          <w:szCs w:val="24"/>
        </w:rPr>
        <w:t>本机构保证在本申请表中所填写的内容不存在任何虚假记载、误导性陈述或者重大遗漏，并承诺对其真实性、准确性、完整性和有效性承担完全的法律责任。</w:t>
      </w:r>
    </w:p>
    <w:p>
      <w:pPr>
        <w:pStyle w:val="4"/>
        <w:spacing w:after="240"/>
        <w:ind w:firstLine="442" w:firstLineChars="200"/>
        <w:jc w:val="left"/>
        <w:rPr>
          <w:rFonts w:ascii="宋体" w:hAnsi="宋体" w:eastAsia="PMingLiU" w:cs="Arial"/>
          <w:b/>
          <w:szCs w:val="24"/>
          <w:shd w:val="pct10" w:color="auto" w:fill="FFFFFF"/>
        </w:rPr>
      </w:pPr>
      <w:r>
        <w:rPr>
          <w:rFonts w:ascii="Times New Roman" w:hAnsi="Times New Roman" w:eastAsia="宋体"/>
          <w:b/>
          <w:bCs/>
          <w:i/>
          <w:sz w:val="22"/>
          <w:szCs w:val="24"/>
        </w:rPr>
        <w:t>Important statement</w:t>
      </w:r>
      <w:r>
        <w:rPr>
          <w:rFonts w:ascii="Times New Roman" w:hAnsi="Times New Roman" w:eastAsia="宋体"/>
          <w:b/>
          <w:bCs/>
          <w:i/>
          <w:sz w:val="22"/>
          <w:szCs w:val="24"/>
          <w:lang w:eastAsia="zh-CN"/>
        </w:rPr>
        <w:t xml:space="preserve">: </w:t>
      </w:r>
      <w:r>
        <w:rPr>
          <w:rFonts w:ascii="Times New Roman" w:hAnsi="Times New Roman" w:eastAsia="宋体"/>
          <w:i/>
          <w:sz w:val="22"/>
          <w:szCs w:val="24"/>
          <w:lang w:eastAsia="zh-CN"/>
        </w:rPr>
        <w:t>We guarantee that no false record, misleading statement or major omission is provided in this application form; and we promise to bear full legal responsibility for the form’s authenticity, accuracy, integrity and validity.</w:t>
      </w:r>
    </w:p>
    <w:p>
      <w:pPr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基本信息</w:t>
      </w:r>
      <w:r>
        <w:rPr>
          <w:b/>
          <w:i/>
          <w:szCs w:val="21"/>
          <w:shd w:val="pct10" w:color="auto" w:fill="FFFFFF"/>
        </w:rPr>
        <w:t>Basic information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债券账户中文全称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Full name of the bond account in Chinese</w:t>
            </w:r>
          </w:p>
        </w:tc>
        <w:tc>
          <w:tcPr>
            <w:tcW w:w="7376" w:type="dxa"/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eastAsia="仿宋_GB2312"/>
                <w:color w:val="0070C0"/>
                <w:szCs w:val="21"/>
              </w:rPr>
              <w:t>（小于等于100个字）</w:t>
            </w:r>
            <w:r>
              <w:rPr>
                <w:i/>
                <w:color w:val="0070C0"/>
                <w:szCs w:val="21"/>
              </w:rPr>
              <w:t>（up to 100 characters）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债券账户英文全称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Full name of the bond account in English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eastAsia="仿宋_GB2312"/>
                <w:color w:val="0070C0"/>
                <w:sz w:val="18"/>
                <w:szCs w:val="18"/>
              </w:rPr>
            </w:pPr>
            <w:r>
              <w:rPr>
                <w:rFonts w:eastAsia="仿宋_GB2312"/>
                <w:color w:val="0070C0"/>
                <w:szCs w:val="21"/>
              </w:rPr>
              <w:t>（小于等于300个字符）</w:t>
            </w:r>
            <w:r>
              <w:rPr>
                <w:rFonts w:eastAsia="仿宋_GB2312"/>
                <w:i/>
                <w:color w:val="0070C0"/>
                <w:szCs w:val="21"/>
              </w:rPr>
              <w:t>(up to 300 characters)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债券账户中文简称</w:t>
            </w:r>
            <w:r>
              <w:rPr>
                <w:i/>
                <w:szCs w:val="21"/>
              </w:rPr>
              <w:t>Abbreviated name of the bond account in Chinese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color w:val="0070C0"/>
                <w:szCs w:val="21"/>
              </w:rPr>
              <w:t>（小于等于30个字）</w:t>
            </w:r>
            <w:r>
              <w:rPr>
                <w:rFonts w:eastAsia="仿宋_GB2312"/>
                <w:i/>
                <w:color w:val="0070C0"/>
                <w:szCs w:val="21"/>
              </w:rPr>
              <w:t>(up to 30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债券账户英文简称</w:t>
            </w:r>
            <w:r>
              <w:rPr>
                <w:i/>
                <w:szCs w:val="21"/>
              </w:rPr>
              <w:t>Abbreviated name of the bond account in English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color w:val="0070C0"/>
                <w:szCs w:val="21"/>
              </w:rPr>
              <w:t>（小于等于90个字符）</w:t>
            </w:r>
            <w:r>
              <w:rPr>
                <w:rFonts w:eastAsia="仿宋_GB2312"/>
                <w:i/>
                <w:color w:val="0070C0"/>
                <w:szCs w:val="21"/>
              </w:rPr>
              <w:t>(up to 90 characters)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机构类型</w:t>
            </w:r>
            <w:r>
              <w:rPr>
                <w:i/>
                <w:szCs w:val="21"/>
              </w:rPr>
              <w:t>Type of the investor</w:t>
            </w:r>
          </w:p>
        </w:tc>
        <w:tc>
          <w:tcPr>
            <w:tcW w:w="7376" w:type="dxa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○</w:t>
            </w:r>
            <w:r>
              <w:rPr>
                <w:rFonts w:hint="eastAsia" w:ascii="仿宋_GB2312" w:hAnsi="宋体" w:eastAsia="仿宋_GB2312" w:cs="Arial"/>
                <w:szCs w:val="21"/>
              </w:rPr>
              <w:t>境外央行</w:t>
            </w:r>
            <w:r>
              <w:rPr>
                <w:i/>
                <w:szCs w:val="21"/>
              </w:rPr>
              <w:t>Overseas central</w:t>
            </w: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i/>
                <w:szCs w:val="21"/>
              </w:rPr>
              <w:t>bank</w:t>
            </w: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i/>
                <w:szCs w:val="21"/>
              </w:rPr>
              <w:t>or monetary authority</w:t>
            </w:r>
          </w:p>
          <w:p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○</w:t>
            </w:r>
            <w:r>
              <w:rPr>
                <w:rFonts w:hint="eastAsia" w:ascii="仿宋_GB2312" w:hAnsi="宋体" w:eastAsia="仿宋_GB2312" w:cs="Arial"/>
                <w:szCs w:val="21"/>
              </w:rPr>
              <w:t>国际金融组织</w:t>
            </w:r>
            <w:r>
              <w:rPr>
                <w:i/>
                <w:szCs w:val="21"/>
              </w:rPr>
              <w:t>International financial organization</w:t>
            </w:r>
            <w:r>
              <w:rPr>
                <w:rFonts w:hint="eastAsia"/>
                <w:i/>
                <w:szCs w:val="21"/>
              </w:rPr>
              <w:t xml:space="preserve"> </w:t>
            </w:r>
          </w:p>
          <w:p>
            <w:pPr>
              <w:jc w:val="left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○</w:t>
            </w:r>
            <w:r>
              <w:rPr>
                <w:rFonts w:hint="eastAsia" w:ascii="仿宋_GB2312" w:hAnsi="宋体" w:eastAsia="仿宋_GB2312" w:cs="Arial"/>
                <w:szCs w:val="21"/>
              </w:rPr>
              <w:t>主权财富基金</w:t>
            </w:r>
            <w:r>
              <w:rPr>
                <w:i/>
                <w:szCs w:val="21"/>
              </w:rPr>
              <w:t>Sovereign wealth funds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376" w:type="dxa"/>
            <w:vAlign w:val="center"/>
          </w:tcPr>
          <w:p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○QFII    ○RQFII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注册地</w:t>
            </w:r>
            <w:r>
              <w:rPr>
                <w:i/>
                <w:szCs w:val="21"/>
              </w:rPr>
              <w:t>Place of registration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（国家/地区）</w:t>
            </w:r>
            <w:r>
              <w:rPr>
                <w:i/>
                <w:color w:val="0070C0"/>
                <w:szCs w:val="21"/>
              </w:rPr>
              <w:t>(country / region)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注册地址（英文）</w:t>
            </w:r>
            <w:r>
              <w:rPr>
                <w:i/>
                <w:szCs w:val="21"/>
              </w:rPr>
              <w:t>Registration address</w:t>
            </w:r>
            <w:r>
              <w:rPr>
                <w:rFonts w:hint="eastAsia"/>
                <w:i/>
                <w:szCs w:val="21"/>
              </w:rPr>
              <w:t>(in English)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法人机构识别编码</w:t>
            </w:r>
            <w:r>
              <w:rPr>
                <w:rFonts w:hint="eastAsia" w:ascii="宋体" w:hAnsi="宋体" w:cs="Arial"/>
                <w:szCs w:val="21"/>
              </w:rPr>
              <w:t>LEI applicable）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（如有）</w:t>
            </w:r>
            <w:r>
              <w:rPr>
                <w:i/>
                <w:color w:val="0070C0"/>
                <w:szCs w:val="21"/>
              </w:rPr>
              <w:t>(if applicable</w:t>
            </w:r>
            <w:r>
              <w:rPr>
                <w:rFonts w:hint="eastAsia"/>
                <w:i/>
                <w:color w:val="0070C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债券账号</w:t>
            </w:r>
            <w:r>
              <w:rPr>
                <w:i/>
                <w:szCs w:val="21"/>
              </w:rPr>
              <w:t>Bond account</w:t>
            </w:r>
            <w:r>
              <w:rPr>
                <w:rFonts w:hint="eastAsia"/>
                <w:i/>
                <w:szCs w:val="21"/>
              </w:rPr>
              <w:t xml:space="preserve"> number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ascii="宋体" w:hAnsi="宋体" w:cs="Arial"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（首次开户不填）</w:t>
            </w:r>
            <w:r>
              <w:rPr>
                <w:i/>
                <w:color w:val="0070C0"/>
                <w:szCs w:val="21"/>
              </w:rPr>
              <w:t>(not applicable for the first-time account opening applicant)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结算类型</w:t>
            </w:r>
            <w:r>
              <w:rPr>
                <w:i/>
                <w:szCs w:val="21"/>
              </w:rPr>
              <w:t>Settlement type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■</w:t>
            </w:r>
            <w:r>
              <w:rPr>
                <w:rFonts w:hint="eastAsia" w:ascii="仿宋_GB2312" w:hAnsi="宋体" w:eastAsia="仿宋_GB2312" w:cs="Arial"/>
                <w:szCs w:val="21"/>
              </w:rPr>
              <w:t>委托结算代理人代理结算</w:t>
            </w:r>
            <w:r>
              <w:rPr>
                <w:i/>
                <w:szCs w:val="21"/>
              </w:rPr>
              <w:t>Settle through the settlement agent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结算代理人全称</w:t>
            </w:r>
            <w:r>
              <w:rPr>
                <w:i/>
                <w:szCs w:val="21"/>
              </w:rPr>
              <w:t>Full name of the settlement</w:t>
            </w: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i/>
                <w:iCs/>
                <w:szCs w:val="21"/>
              </w:rPr>
              <w:t>agent</w:t>
            </w:r>
          </w:p>
        </w:tc>
        <w:tc>
          <w:tcPr>
            <w:tcW w:w="7376" w:type="dxa"/>
            <w:vAlign w:val="center"/>
          </w:tcPr>
          <w:p>
            <w:pPr>
              <w:rPr>
                <w:rFonts w:ascii="宋体" w:hAnsi="宋体" w:cs="Arial"/>
                <w:sz w:val="15"/>
                <w:szCs w:val="15"/>
              </w:rPr>
            </w:pPr>
          </w:p>
        </w:tc>
      </w:tr>
    </w:tbl>
    <w:p>
      <w:pPr>
        <w:spacing w:before="240" w:after="240"/>
        <w:ind w:left="284" w:right="353" w:rightChars="168"/>
        <w:rPr>
          <w:b/>
          <w:i/>
          <w:sz w:val="22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业务申请经办人员信息</w:t>
      </w:r>
      <w:r>
        <w:rPr>
          <w:b/>
          <w:i/>
          <w:szCs w:val="21"/>
          <w:shd w:val="pct10" w:color="auto" w:fill="FFFFFF"/>
        </w:rPr>
        <w:t>Information of the operator responsible for the application</w:t>
      </w:r>
    </w:p>
    <w:tbl>
      <w:tblPr>
        <w:tblStyle w:val="1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836"/>
        <w:gridCol w:w="2368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  <w:r>
              <w:rPr>
                <w:i/>
                <w:szCs w:val="21"/>
              </w:rPr>
              <w:t>Name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所在单位、部门</w:t>
            </w:r>
            <w:r>
              <w:rPr>
                <w:i/>
                <w:szCs w:val="21"/>
              </w:rPr>
              <w:t>Institution and department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办公电话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i/>
                <w:szCs w:val="21"/>
              </w:rPr>
              <w:t>Office phone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手机</w:t>
            </w:r>
            <w:r>
              <w:rPr>
                <w:i/>
                <w:szCs w:val="21"/>
              </w:rPr>
              <w:t>Mobile phone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传真</w:t>
            </w:r>
            <w:r>
              <w:rPr>
                <w:i/>
                <w:iCs/>
                <w:szCs w:val="21"/>
              </w:rPr>
              <w:t>Fax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（如有）</w:t>
            </w:r>
            <w:r>
              <w:rPr>
                <w:i/>
                <w:color w:val="0070C0"/>
                <w:szCs w:val="21"/>
              </w:rPr>
              <w:t>(if applicable</w:t>
            </w:r>
            <w:r>
              <w:rPr>
                <w:rFonts w:hint="eastAsia"/>
                <w:i/>
                <w:color w:val="0070C0"/>
                <w:szCs w:val="21"/>
              </w:rPr>
              <w:t>）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电子邮箱</w:t>
            </w:r>
            <w:r>
              <w:rPr>
                <w:i/>
                <w:szCs w:val="21"/>
              </w:rPr>
              <w:t>Email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通讯地址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i/>
                <w:szCs w:val="21"/>
              </w:rPr>
              <w:t>Contact address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邮政编码</w:t>
            </w:r>
            <w:r>
              <w:rPr>
                <w:i/>
                <w:szCs w:val="21"/>
              </w:rPr>
              <w:t>Postcode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before="240" w:after="240" w:line="560" w:lineRule="exact"/>
        <w:ind w:firstLine="422" w:firstLineChars="200"/>
        <w:jc w:val="left"/>
        <w:rPr>
          <w:b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申请事项</w:t>
      </w:r>
      <w:r>
        <w:rPr>
          <w:b/>
          <w:i/>
          <w:sz w:val="22"/>
          <w:shd w:val="pct10" w:color="auto" w:fill="FFFFFF"/>
        </w:rPr>
        <w:t>Business that requires application</w:t>
      </w:r>
    </w:p>
    <w:tbl>
      <w:tblPr>
        <w:tblStyle w:val="1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一、加入市场</w:t>
            </w:r>
            <w:r>
              <w:rPr>
                <w:i/>
                <w:szCs w:val="21"/>
              </w:rPr>
              <w:t>Market entry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申请在同业拆借中心开立债券交易账户</w:t>
            </w:r>
            <w:r>
              <w:rPr>
                <w:rFonts w:ascii="Times New Roman" w:hAnsi="Times New Roman"/>
                <w:i/>
                <w:szCs w:val="21"/>
              </w:rPr>
              <w:t xml:space="preserve">Applying to open a </w:t>
            </w:r>
            <w:r>
              <w:rPr>
                <w:rFonts w:hint="eastAsia" w:ascii="Times New Roman" w:hAnsi="Times New Roman"/>
                <w:i/>
                <w:szCs w:val="21"/>
              </w:rPr>
              <w:t>trading account at</w:t>
            </w:r>
            <w:r>
              <w:rPr>
                <w:rFonts w:ascii="Times New Roman" w:hAnsi="Times New Roman"/>
                <w:i/>
                <w:szCs w:val="21"/>
              </w:rPr>
              <w:t xml:space="preserve"> CFETS</w:t>
            </w:r>
          </w:p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申请在中央结算公司开立债券账户</w:t>
            </w:r>
            <w:r>
              <w:rPr>
                <w:i/>
                <w:szCs w:val="21"/>
              </w:rPr>
              <w:t>Applying to open a bond account at CCDC</w:t>
            </w:r>
          </w:p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申请在中央结算公司开立债券结算资金专户</w:t>
            </w:r>
            <w:r>
              <w:rPr>
                <w:rFonts w:ascii="Times New Roman" w:hAnsi="Times New Roman"/>
                <w:i/>
                <w:szCs w:val="21"/>
              </w:rPr>
              <w:t>Applying to open a dedicated cash account for bond settlement at CCDC</w:t>
            </w:r>
          </w:p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申请在上海清算所开立债券账户</w:t>
            </w:r>
            <w:r>
              <w:rPr>
                <w:rFonts w:ascii="Times New Roman" w:hAnsi="Times New Roman"/>
                <w:i/>
                <w:szCs w:val="21"/>
              </w:rPr>
              <w:t>Applying to open a bond account at SHCH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申请在上海清算所开立债券结算资金专户</w:t>
            </w:r>
            <w:r>
              <w:rPr>
                <w:i/>
                <w:szCs w:val="21"/>
              </w:rPr>
              <w:t>Applying to open a dedicated cash account for bond settlement at SHCH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二、信息变更</w:t>
            </w:r>
            <w:r>
              <w:rPr>
                <w:i/>
                <w:szCs w:val="21"/>
              </w:rPr>
              <w:t>Information alteration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机构名称变更</w:t>
            </w:r>
            <w:r>
              <w:rPr>
                <w:rFonts w:ascii="Times New Roman" w:hAnsi="Times New Roman"/>
                <w:i/>
                <w:szCs w:val="21"/>
              </w:rPr>
              <w:t>Changing the name of the institution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变更前机构全称</w:t>
            </w:r>
            <w:r>
              <w:rPr>
                <w:i/>
                <w:szCs w:val="21"/>
              </w:rPr>
              <w:t xml:space="preserve">Former full name of the institution: </w:t>
            </w:r>
            <w:r>
              <w:rPr>
                <w:rFonts w:hint="eastAsia" w:ascii="宋体" w:hAnsi="宋体" w:cs="Arial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结算代理人变更</w:t>
            </w:r>
            <w:r>
              <w:rPr>
                <w:i/>
                <w:szCs w:val="21"/>
              </w:rPr>
              <w:t>Changing the settlement agent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变更前结算代理人全称</w:t>
            </w:r>
            <w:r>
              <w:rPr>
                <w:i/>
                <w:szCs w:val="21"/>
              </w:rPr>
              <w:t xml:space="preserve">Former full name of the settlement agent: </w:t>
            </w:r>
            <w:r>
              <w:rPr>
                <w:rFonts w:hint="eastAsia" w:ascii="宋体" w:hAnsi="宋体" w:cs="Arial"/>
                <w:szCs w:val="21"/>
                <w:u w:val="single"/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投资管理人变更</w:t>
            </w:r>
            <w:r>
              <w:rPr>
                <w:i/>
                <w:szCs w:val="21"/>
              </w:rPr>
              <w:t>Changing the investment</w:t>
            </w:r>
            <w:r>
              <w:rPr>
                <w:rFonts w:hint="eastAsia"/>
                <w:i/>
                <w:szCs w:val="21"/>
              </w:rPr>
              <w:t xml:space="preserve"> manager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变更前投资管理人全称</w:t>
            </w:r>
            <w:r>
              <w:rPr>
                <w:i/>
                <w:szCs w:val="21"/>
              </w:rPr>
              <w:t>Former full name of the investment</w:t>
            </w:r>
            <w:r>
              <w:rPr>
                <w:rFonts w:hint="eastAsia"/>
                <w:i/>
                <w:szCs w:val="21"/>
              </w:rPr>
              <w:t xml:space="preserve"> manager</w:t>
            </w:r>
            <w:r>
              <w:rPr>
                <w:i/>
                <w:szCs w:val="21"/>
              </w:rPr>
              <w:t>:</w:t>
            </w:r>
            <w:r>
              <w:rPr>
                <w:rFonts w:hint="eastAsia" w:ascii="宋体" w:hAnsi="宋体" w:cs="Arial"/>
                <w:szCs w:val="21"/>
                <w:u w:val="single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变更预留印鉴</w:t>
            </w:r>
            <w:r>
              <w:rPr>
                <w:i/>
                <w:szCs w:val="21"/>
              </w:rPr>
              <w:t>Changing the reserved seal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三、退出市场</w:t>
            </w:r>
            <w:r>
              <w:rPr>
                <w:i/>
                <w:szCs w:val="21"/>
              </w:rPr>
              <w:t>Market exit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申请注销在同业拆借中心的账户</w:t>
            </w:r>
            <w:r>
              <w:rPr>
                <w:rFonts w:ascii="Times New Roman" w:hAnsi="Times New Roman"/>
                <w:i/>
                <w:szCs w:val="21"/>
              </w:rPr>
              <w:t xml:space="preserve">Applying to cancel the </w:t>
            </w:r>
            <w:r>
              <w:rPr>
                <w:rFonts w:hint="eastAsia" w:ascii="Times New Roman" w:hAnsi="Times New Roman"/>
                <w:i/>
                <w:szCs w:val="21"/>
              </w:rPr>
              <w:t xml:space="preserve">trading </w:t>
            </w:r>
            <w:r>
              <w:rPr>
                <w:rFonts w:ascii="Times New Roman" w:hAnsi="Times New Roman"/>
                <w:i/>
                <w:szCs w:val="21"/>
              </w:rPr>
              <w:t xml:space="preserve">accounts </w:t>
            </w:r>
            <w:r>
              <w:rPr>
                <w:rFonts w:hint="eastAsia" w:ascii="Times New Roman" w:hAnsi="Times New Roman"/>
                <w:i/>
                <w:szCs w:val="21"/>
              </w:rPr>
              <w:t>at</w:t>
            </w:r>
            <w:r>
              <w:rPr>
                <w:rFonts w:ascii="Times New Roman" w:hAnsi="Times New Roman"/>
                <w:i/>
                <w:szCs w:val="21"/>
              </w:rPr>
              <w:t xml:space="preserve"> CFETS</w:t>
            </w:r>
          </w:p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申请注销在中央结算公司的账户</w:t>
            </w:r>
            <w:r>
              <w:rPr>
                <w:rFonts w:ascii="Times New Roman" w:hAnsi="Times New Roman"/>
                <w:i/>
                <w:szCs w:val="21"/>
              </w:rPr>
              <w:t>Applying to cancel the accounts at CCDC</w:t>
            </w:r>
          </w:p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申请注销在上海清算所的账户</w:t>
            </w:r>
            <w:r>
              <w:rPr>
                <w:rFonts w:ascii="Times New Roman" w:hAnsi="Times New Roman"/>
                <w:i/>
                <w:szCs w:val="21"/>
              </w:rPr>
              <w:t>Applying to cancel the accounts at SHCH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四、其他事项</w:t>
            </w:r>
            <w:r>
              <w:rPr>
                <w:i/>
                <w:szCs w:val="21"/>
              </w:rPr>
              <w:t>Other business</w:t>
            </w:r>
          </w:p>
        </w:tc>
        <w:tc>
          <w:tcPr>
            <w:tcW w:w="7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Arial"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根据申请事项填写详细内容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i/>
                <w:color w:val="0070C0"/>
                <w:szCs w:val="21"/>
              </w:rPr>
              <w:t>(Please provide detailed information based on the business to be applied for)</w:t>
            </w:r>
          </w:p>
        </w:tc>
      </w:tr>
    </w:tbl>
    <w:p>
      <w:pPr>
        <w:adjustRightInd w:val="0"/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i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同业拆借中心业务申请</w:t>
      </w:r>
      <w:r>
        <w:rPr>
          <w:b/>
          <w:i/>
          <w:szCs w:val="21"/>
          <w:shd w:val="pct10" w:color="auto" w:fill="FFFFFF"/>
        </w:rPr>
        <w:t>Application with CFETS</w:t>
      </w:r>
    </w:p>
    <w:tbl>
      <w:tblPr>
        <w:tblStyle w:val="12"/>
        <w:tblW w:w="5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交易方式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Type of Trading</w:t>
            </w:r>
          </w:p>
        </w:tc>
        <w:tc>
          <w:tcPr>
            <w:tcW w:w="4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代理交易</w:t>
            </w:r>
            <w:r>
              <w:rPr>
                <w:rFonts w:hint="eastAsia"/>
                <w:i/>
                <w:szCs w:val="21"/>
              </w:rPr>
              <w:t>A</w:t>
            </w:r>
            <w:r>
              <w:rPr>
                <w:i/>
                <w:szCs w:val="21"/>
              </w:rPr>
              <w:t>gency Trading</w:t>
            </w:r>
          </w:p>
          <w:p>
            <w:pPr>
              <w:adjustRightInd w:val="0"/>
              <w:snapToGrid w:val="0"/>
              <w:rPr>
                <w:i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（若使用VCON，请填写附表《境外机构投资者交易业务申请表》）</w:t>
            </w:r>
            <w:r>
              <w:rPr>
                <w:rFonts w:hint="eastAsia"/>
                <w:i/>
                <w:color w:val="0070C0"/>
                <w:szCs w:val="21"/>
              </w:rPr>
              <w:t>(Application for using VCON</w:t>
            </w:r>
            <w:r>
              <w:rPr>
                <w:i/>
                <w:color w:val="0070C0"/>
                <w:szCs w:val="21"/>
              </w:rPr>
              <w:t xml:space="preserve">, please </w:t>
            </w:r>
            <w:r>
              <w:rPr>
                <w:rFonts w:hint="eastAsia"/>
                <w:i/>
                <w:color w:val="0070C0"/>
                <w:szCs w:val="21"/>
              </w:rPr>
              <w:t>fill</w:t>
            </w:r>
            <w:r>
              <w:rPr>
                <w:i/>
                <w:color w:val="0070C0"/>
                <w:szCs w:val="21"/>
              </w:rPr>
              <w:t xml:space="preserve"> in the Annex: Trading Business Application Form of Overseas Institutional Investors)</w:t>
            </w:r>
          </w:p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直接交易</w:t>
            </w:r>
            <w:r>
              <w:rPr>
                <w:rFonts w:hint="eastAsia"/>
                <w:i/>
                <w:szCs w:val="21"/>
              </w:rPr>
              <w:t>Direct Trading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（请填写附表《境外机构投资者交易业务申请表》）</w:t>
            </w:r>
            <w:r>
              <w:rPr>
                <w:rFonts w:hint="eastAsia"/>
                <w:i/>
                <w:color w:val="0070C0"/>
                <w:szCs w:val="21"/>
              </w:rPr>
              <w:t>(</w:t>
            </w:r>
            <w:r>
              <w:rPr>
                <w:i/>
                <w:color w:val="0070C0"/>
                <w:szCs w:val="21"/>
              </w:rPr>
              <w:t xml:space="preserve">Please </w:t>
            </w:r>
            <w:r>
              <w:rPr>
                <w:rFonts w:hint="eastAsia"/>
                <w:i/>
                <w:color w:val="0070C0"/>
                <w:szCs w:val="21"/>
              </w:rPr>
              <w:t>fill</w:t>
            </w:r>
            <w:r>
              <w:rPr>
                <w:i/>
                <w:color w:val="0070C0"/>
                <w:szCs w:val="21"/>
              </w:rPr>
              <w:t xml:space="preserve"> in the Annex: Trading Business Application Form of Overseas Institutional Investors)</w:t>
            </w:r>
          </w:p>
        </w:tc>
      </w:tr>
    </w:tbl>
    <w:p>
      <w:pPr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i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中央结算公司业务申请</w:t>
      </w:r>
      <w:r>
        <w:rPr>
          <w:b/>
          <w:i/>
          <w:szCs w:val="21"/>
          <w:shd w:val="pct10" w:color="auto" w:fill="FFFFFF"/>
        </w:rPr>
        <w:t>Application with CCDC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275"/>
        <w:gridCol w:w="2409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52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结算代理人账号</w:t>
            </w:r>
          </w:p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i/>
                <w:szCs w:val="21"/>
              </w:rPr>
              <w:t>Account number of the settlement agent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仿宋_GB2312" w:hAnsi="宋体" w:eastAsia="仿宋_GB2312" w:cs="Arial"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（在中央结算公司账号）</w:t>
            </w:r>
          </w:p>
          <w:p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(Account number at CCDC)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52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结算代理分组编号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Group number for bond accounts - settlement agency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52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资金结算代理分组编号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Group number for cash accounts - settlement agency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提取DVP结算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资金收款账户</w:t>
            </w:r>
            <w:r>
              <w:rPr>
                <w:i/>
                <w:szCs w:val="21"/>
              </w:rPr>
              <w:t>Beneficiary account for withdrawing DVP settlement funds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■</w:t>
            </w:r>
            <w:r>
              <w:rPr>
                <w:rFonts w:hint="eastAsia" w:ascii="仿宋_GB2312" w:hAnsi="宋体" w:eastAsia="仿宋_GB2312" w:cs="Arial"/>
                <w:szCs w:val="21"/>
              </w:rPr>
              <w:t>使用开立在商业银行的单位结算账户</w:t>
            </w:r>
            <w:r>
              <w:rPr>
                <w:i/>
                <w:szCs w:val="21"/>
              </w:rPr>
              <w:t>To use the corporate settlement account opened at a commercial bank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开户行在支付系统行号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Bank number in the payment system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（12位</w:t>
            </w:r>
            <w:r>
              <w:rPr>
                <w:rFonts w:ascii="仿宋_GB2312" w:hAnsi="宋体" w:eastAsia="仿宋_GB2312" w:cs="Arial"/>
                <w:color w:val="0070C0"/>
                <w:szCs w:val="21"/>
              </w:rPr>
              <w:t>行号）</w:t>
            </w:r>
            <w:r>
              <w:rPr>
                <w:i/>
                <w:color w:val="0070C0"/>
                <w:szCs w:val="21"/>
              </w:rPr>
              <w:t>(12-digit)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开户行在支付系统行名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Bank name in the payment system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资金账户账号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Fund account number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资金账户名称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Fund account name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</w:t>
            </w:r>
            <w:r>
              <w:rPr>
                <w:rFonts w:ascii="仿宋_GB2312" w:hAnsi="宋体" w:eastAsia="仿宋_GB2312" w:cs="Arial"/>
                <w:color w:val="0070C0"/>
                <w:szCs w:val="21"/>
              </w:rPr>
              <w:t>小于</w:t>
            </w: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等于30个字</w:t>
            </w:r>
            <w:r>
              <w:rPr>
                <w:rFonts w:ascii="仿宋_GB2312" w:hAnsi="宋体" w:eastAsia="仿宋_GB2312" w:cs="Arial"/>
                <w:color w:val="0070C0"/>
                <w:szCs w:val="21"/>
              </w:rPr>
              <w:t>）</w:t>
            </w:r>
            <w:r>
              <w:rPr>
                <w:i/>
                <w:color w:val="0070C0"/>
                <w:szCs w:val="21"/>
              </w:rPr>
              <w:t>(up to 30 characters)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付息兑付资金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收款账户</w:t>
            </w:r>
            <w:r>
              <w:rPr>
                <w:i/>
                <w:szCs w:val="21"/>
              </w:rPr>
              <w:t>Beneficiary account of interest payment and principal redemption</w:t>
            </w:r>
          </w:p>
        </w:tc>
        <w:tc>
          <w:tcPr>
            <w:tcW w:w="751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使用开立在商业银行的单位结算账户（路径同DVP结算资金收款账户一致）</w:t>
            </w:r>
          </w:p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Times New Roman" w:hAnsi="Times New Roman"/>
                <w:i/>
                <w:szCs w:val="21"/>
              </w:rPr>
              <w:t>To use the corporate settlement account opened at a commercial bank (the same as the beneficiary account for DVP settlement funds)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使用开立在中央结算公司的债券结算资金专户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 xml:space="preserve">To use the dedicated cash account for bond settlement at </w:t>
            </w:r>
            <w:r>
              <w:rPr>
                <w:rFonts w:hint="eastAsia"/>
                <w:i/>
                <w:szCs w:val="21"/>
              </w:rPr>
              <w:t>CCDC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备注</w:t>
            </w:r>
            <w:r>
              <w:rPr>
                <w:rFonts w:hint="eastAsia"/>
                <w:i/>
                <w:szCs w:val="21"/>
              </w:rPr>
              <w:t>Notes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szCs w:val="21"/>
              </w:rPr>
            </w:pPr>
          </w:p>
        </w:tc>
      </w:tr>
    </w:tbl>
    <w:p>
      <w:pPr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上海清算所业务申请</w:t>
      </w:r>
      <w:r>
        <w:rPr>
          <w:b/>
          <w:i/>
          <w:szCs w:val="21"/>
          <w:shd w:val="pct10" w:color="auto" w:fill="FFFFFF"/>
        </w:rPr>
        <w:t>Application with SHCH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1559"/>
        <w:gridCol w:w="85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结算代理人总账户账号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 xml:space="preserve">Operate account number of the settlement agent  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7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结算代理人账号</w:t>
            </w:r>
          </w:p>
          <w:p>
            <w:pPr>
              <w:adjustRightInd w:val="0"/>
              <w:snapToGrid w:val="0"/>
              <w:rPr>
                <w:i/>
                <w:szCs w:val="21"/>
              </w:rPr>
            </w:pPr>
            <w:r>
              <w:rPr>
                <w:i/>
                <w:szCs w:val="21"/>
              </w:rPr>
              <w:t>Account number of the settlement agent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color w:val="0070C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（在上海清算所账号）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i/>
                <w:color w:val="0070C0"/>
                <w:szCs w:val="21"/>
              </w:rPr>
              <w:t>(Account number at SHCH)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提取DVP结算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资金收款账户</w:t>
            </w:r>
            <w:r>
              <w:rPr>
                <w:i/>
                <w:szCs w:val="21"/>
              </w:rPr>
              <w:t>Beneficiary account for withdrawing DVP settlement funds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■</w:t>
            </w:r>
            <w:r>
              <w:rPr>
                <w:rFonts w:hint="eastAsia" w:ascii="仿宋_GB2312" w:hAnsi="宋体" w:eastAsia="仿宋_GB2312" w:cs="Arial"/>
                <w:szCs w:val="21"/>
              </w:rPr>
              <w:t>使用开立在商业银行的单位结算账户</w:t>
            </w:r>
            <w:r>
              <w:rPr>
                <w:i/>
                <w:szCs w:val="21"/>
              </w:rPr>
              <w:t>To use the corporate settlement account opened at a commercial bank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开户行在支付系统行号</w:t>
            </w:r>
            <w:r>
              <w:rPr>
                <w:i/>
                <w:szCs w:val="21"/>
              </w:rPr>
              <w:t>Bank number in the payment system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（12位</w:t>
            </w:r>
            <w:r>
              <w:rPr>
                <w:rFonts w:ascii="仿宋_GB2312" w:hAnsi="宋体" w:eastAsia="仿宋_GB2312" w:cs="Arial"/>
                <w:color w:val="0070C0"/>
                <w:szCs w:val="21"/>
              </w:rPr>
              <w:t>行号）</w:t>
            </w:r>
            <w:r>
              <w:rPr>
                <w:i/>
                <w:color w:val="0070C0"/>
                <w:szCs w:val="21"/>
              </w:rPr>
              <w:t>(12-digit)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开户行在支付系统行名</w:t>
            </w:r>
            <w:r>
              <w:rPr>
                <w:i/>
                <w:szCs w:val="21"/>
              </w:rPr>
              <w:t>Bank name in the payment system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资金账户账号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i/>
                <w:szCs w:val="21"/>
              </w:rPr>
              <w:t>Fund account number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资金账户名称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i/>
                <w:szCs w:val="21"/>
              </w:rPr>
              <w:t>Fund account name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（</w:t>
            </w:r>
            <w:r>
              <w:rPr>
                <w:rFonts w:ascii="仿宋_GB2312" w:hAnsi="宋体" w:eastAsia="仿宋_GB2312" w:cs="Arial"/>
                <w:color w:val="0070C0"/>
                <w:szCs w:val="21"/>
              </w:rPr>
              <w:t>小于</w:t>
            </w:r>
            <w:r>
              <w:rPr>
                <w:rFonts w:hint="eastAsia" w:ascii="仿宋_GB2312" w:hAnsi="宋体" w:eastAsia="仿宋_GB2312" w:cs="Arial"/>
                <w:color w:val="0070C0"/>
                <w:szCs w:val="21"/>
              </w:rPr>
              <w:t>等于30个字</w:t>
            </w:r>
            <w:r>
              <w:rPr>
                <w:rFonts w:ascii="仿宋_GB2312" w:hAnsi="宋体" w:eastAsia="仿宋_GB2312" w:cs="Arial"/>
                <w:color w:val="0070C0"/>
                <w:szCs w:val="21"/>
              </w:rPr>
              <w:t>）</w:t>
            </w:r>
            <w:r>
              <w:rPr>
                <w:i/>
                <w:color w:val="0070C0"/>
                <w:szCs w:val="21"/>
              </w:rPr>
              <w:t>(up to 30 characters)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资金专户余额日终自动退回</w:t>
            </w:r>
            <w:r>
              <w:rPr>
                <w:i/>
                <w:szCs w:val="21"/>
              </w:rPr>
              <w:t>Automatic return of the balance in dedicated cash account at the end of day</w:t>
            </w:r>
            <w:r>
              <w:rPr>
                <w:rFonts w:hint="eastAsia" w:ascii="仿宋_GB2312" w:hAnsi="宋体" w:eastAsia="仿宋_GB2312" w:cs="Arial"/>
                <w:szCs w:val="21"/>
              </w:rPr>
              <w:t>（默认）</w:t>
            </w:r>
            <w:r>
              <w:rPr>
                <w:i/>
                <w:szCs w:val="21"/>
              </w:rPr>
              <w:t>(default)</w:t>
            </w:r>
            <w:r>
              <w:rPr>
                <w:rFonts w:hint="eastAsia" w:ascii="宋体" w:hAnsi="宋体" w:cs="Arial"/>
                <w:szCs w:val="21"/>
              </w:rPr>
              <w:t xml:space="preserve">     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资金专户余额自主划回</w:t>
            </w:r>
            <w:r>
              <w:rPr>
                <w:i/>
                <w:szCs w:val="21"/>
              </w:rPr>
              <w:t>Optional withdrawal of the balance in dedicated cash account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付息兑付资金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收款账户</w:t>
            </w:r>
            <w:r>
              <w:rPr>
                <w:i/>
                <w:szCs w:val="21"/>
              </w:rPr>
              <w:t>Beneficiary account of interest payment and principal redemption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使用开立在商业银行的单位结算账户（路径同DVP结算资金收款账户一致）</w:t>
            </w:r>
          </w:p>
          <w:p>
            <w:pPr>
              <w:pStyle w:val="20"/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/>
                <w:i/>
                <w:szCs w:val="21"/>
              </w:rPr>
            </w:pPr>
            <w:r>
              <w:rPr>
                <w:rFonts w:ascii="Times New Roman" w:hAnsi="Times New Roman"/>
                <w:i/>
                <w:szCs w:val="21"/>
              </w:rPr>
              <w:t>To use the corporate settlement account opened at a commercial bank (the same as the beneficiary account for DVP settlement funds)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 w:ascii="仿宋_GB2312" w:hAnsi="宋体" w:eastAsia="仿宋_GB2312" w:cs="Arial"/>
                <w:szCs w:val="21"/>
              </w:rPr>
              <w:t>使用开立在上海清算所的债券结算资金专户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i/>
                <w:szCs w:val="21"/>
              </w:rPr>
              <w:t>To use the dedicated cash account for bond settlement at SHCH</w:t>
            </w:r>
          </w:p>
        </w:tc>
      </w:tr>
    </w:tbl>
    <w:p>
      <w:pPr>
        <w:spacing w:before="240"/>
        <w:ind w:right="353" w:rightChars="168"/>
        <w:rPr>
          <w:rFonts w:ascii="仿宋_GB2312" w:hAnsi="宋体" w:eastAsia="仿宋_GB2312" w:cs="Arial"/>
          <w:b/>
          <w:szCs w:val="21"/>
          <w:shd w:val="pct10" w:color="auto" w:fill="FFFFFF"/>
        </w:rPr>
      </w:pPr>
    </w:p>
    <w:p>
      <w:pPr>
        <w:widowControl/>
        <w:jc w:val="left"/>
        <w:rPr>
          <w:rFonts w:ascii="仿宋_GB2312" w:hAnsi="宋体" w:eastAsia="仿宋_GB2312" w:cs="Arial"/>
          <w:b/>
          <w:szCs w:val="21"/>
        </w:rPr>
      </w:pPr>
      <w:r>
        <w:rPr>
          <w:rFonts w:ascii="仿宋_GB2312" w:hAnsi="宋体" w:eastAsia="仿宋_GB2312" w:cs="Arial"/>
          <w:b/>
          <w:szCs w:val="21"/>
        </w:rPr>
        <w:br w:type="page"/>
      </w:r>
    </w:p>
    <w:p>
      <w:pPr>
        <w:snapToGrid w:val="0"/>
        <w:spacing w:before="100" w:beforeAutospacing="1" w:after="100" w:afterAutospacing="1" w:line="560" w:lineRule="exact"/>
        <w:ind w:firstLine="422" w:firstLineChars="200"/>
        <w:jc w:val="left"/>
        <w:rPr>
          <w:b/>
          <w:szCs w:val="21"/>
          <w:shd w:val="pct10" w:color="auto" w:fill="FFFFFF"/>
        </w:rPr>
      </w:pP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预留印鉴</w:t>
      </w:r>
      <w:r>
        <w:rPr>
          <w:b/>
          <w:i/>
          <w:szCs w:val="21"/>
          <w:shd w:val="pct10" w:color="auto" w:fill="FFFFFF"/>
        </w:rPr>
        <w:t xml:space="preserve">Reserved seal                 </w:t>
      </w:r>
      <w:r>
        <w:rPr>
          <w:rFonts w:hint="eastAsia" w:ascii="仿宋_GB2312" w:hAnsi="宋体" w:eastAsia="仿宋_GB2312" w:cs="Arial"/>
          <w:b/>
          <w:szCs w:val="21"/>
          <w:shd w:val="pct10" w:color="auto" w:fill="FFFFFF"/>
        </w:rPr>
        <w:t>结算代理人公章</w:t>
      </w:r>
      <w:r>
        <w:rPr>
          <w:b/>
          <w:i/>
          <w:sz w:val="22"/>
          <w:shd w:val="pct10" w:color="auto" w:fill="FFFFFF"/>
        </w:rPr>
        <w:t>Settlement agent seal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4678" w:type="dxa"/>
          </w:tcPr>
          <w:p>
            <w:pPr>
              <w:snapToGrid w:val="0"/>
              <w:spacing w:line="360" w:lineRule="exact"/>
              <w:rPr>
                <w:i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相关境外机构投资者单位公章或法人（或授权）代表签字</w:t>
            </w:r>
            <w:r>
              <w:rPr>
                <w:i/>
                <w:szCs w:val="21"/>
              </w:rPr>
              <w:t>Official seal of related foreign institutional investors or signature of legal (authorized) representative</w:t>
            </w:r>
          </w:p>
          <w:p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4678" w:type="dxa"/>
          </w:tcPr>
          <w:p>
            <w:pPr>
              <w:snapToGrid w:val="0"/>
              <w:spacing w:line="360" w:lineRule="exact"/>
              <w:jc w:val="left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结算代理业务专用章</w:t>
            </w:r>
          </w:p>
          <w:p>
            <w:pPr>
              <w:snapToGrid w:val="0"/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i/>
                <w:szCs w:val="21"/>
              </w:rPr>
              <w:t>Specialized seal for settlement agency business</w:t>
            </w:r>
          </w:p>
        </w:tc>
      </w:tr>
    </w:tbl>
    <w:p>
      <w:pPr>
        <w:spacing w:line="60" w:lineRule="exact"/>
        <w:rPr>
          <w:rFonts w:ascii="宋体" w:hAnsi="宋体" w:cs="Arial"/>
          <w:b/>
          <w:szCs w:val="21"/>
        </w:rPr>
      </w:pPr>
    </w:p>
    <w:p>
      <w:pPr>
        <w:pStyle w:val="9"/>
        <w:spacing w:before="0" w:beforeAutospacing="0" w:after="0" w:afterAutospacing="0" w:line="360" w:lineRule="auto"/>
        <w:ind w:firstLine="480" w:firstLineChars="200"/>
      </w:pPr>
    </w:p>
    <w:p>
      <w:r>
        <w:br w:type="page"/>
      </w:r>
    </w:p>
    <w:p>
      <w:pPr>
        <w:pStyle w:val="4"/>
        <w:jc w:val="left"/>
        <w:rPr>
          <w:rFonts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附表</w:t>
      </w:r>
    </w:p>
    <w:p>
      <w:pPr>
        <w:pStyle w:val="4"/>
        <w:spacing w:after="287" w:afterLines="50"/>
        <w:jc w:val="left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Annex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Arial" w:hAnsi="Arial" w:eastAsia="黑体" w:cs="Arial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</w:rPr>
        <w:t>境外机构投资者交易业务申请表</w:t>
      </w:r>
    </w:p>
    <w:p>
      <w:pPr>
        <w:widowControl/>
        <w:adjustRightInd w:val="0"/>
        <w:snapToGrid w:val="0"/>
        <w:spacing w:after="287" w:afterLines="50" w:line="560" w:lineRule="exact"/>
        <w:jc w:val="center"/>
        <w:rPr>
          <w:rFonts w:eastAsia="黑体"/>
          <w:b/>
          <w:bCs/>
          <w:sz w:val="24"/>
          <w:szCs w:val="36"/>
        </w:rPr>
      </w:pPr>
      <w:r>
        <w:rPr>
          <w:rFonts w:hint="eastAsia" w:eastAsia="黑体"/>
          <w:b/>
          <w:bCs/>
          <w:sz w:val="24"/>
          <w:szCs w:val="36"/>
        </w:rPr>
        <w:t>Trading Business Application Form of Overseas Institutional Investors</w:t>
      </w:r>
    </w:p>
    <w:tbl>
      <w:tblPr>
        <w:tblStyle w:val="12"/>
        <w:tblpPr w:leftFromText="180" w:rightFromText="180" w:vertAnchor="text" w:horzAnchor="page" w:tblpX="1156" w:tblpY="63"/>
        <w:tblOverlap w:val="never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75"/>
        <w:gridCol w:w="900"/>
        <w:gridCol w:w="37"/>
        <w:gridCol w:w="709"/>
        <w:gridCol w:w="1329"/>
        <w:gridCol w:w="317"/>
        <w:gridCol w:w="1020"/>
        <w:gridCol w:w="63"/>
        <w:gridCol w:w="56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交易方式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Type of Trading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□代理</w:t>
            </w:r>
            <w:r>
              <w:rPr>
                <w:rFonts w:hint="eastAsia" w:ascii="宋体" w:hAnsi="宋体" w:cs="Arial"/>
                <w:sz w:val="21"/>
                <w:szCs w:val="21"/>
              </w:rPr>
              <w:t>交易</w:t>
            </w:r>
          </w:p>
          <w:p>
            <w:pPr>
              <w:widowControl/>
              <w:adjustRightInd w:val="0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Agency</w:t>
            </w:r>
            <w:r>
              <w:rPr>
                <w:i/>
                <w:sz w:val="21"/>
                <w:szCs w:val="21"/>
              </w:rPr>
              <w:t xml:space="preserve"> Trading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</w:t>
            </w:r>
            <w:r>
              <w:rPr>
                <w:rFonts w:hint="eastAsia" w:ascii="宋体" w:hAnsi="宋体" w:cs="Arial"/>
                <w:sz w:val="21"/>
                <w:szCs w:val="21"/>
              </w:rPr>
              <w:t>直接交易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Direct Trading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交易执行机构全称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Full Name of Trading Execution Entity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交易执行机构注册国家或地区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Place of Registration (Country and/or Region) of Trading Execution Entity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交易执行机构的</w:t>
            </w:r>
            <w:r>
              <w:rPr>
                <w:rFonts w:hint="eastAsia"/>
                <w:sz w:val="21"/>
                <w:szCs w:val="21"/>
              </w:rPr>
              <w:t>机构类型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Type of Entity of Trading Execution Entity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境外银行</w:t>
            </w:r>
            <w:r>
              <w:rPr>
                <w:i/>
                <w:sz w:val="21"/>
                <w:szCs w:val="21"/>
              </w:rPr>
              <w:t>Commercial bank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境外基金公司</w:t>
            </w:r>
            <w:r>
              <w:rPr>
                <w:i/>
                <w:sz w:val="21"/>
                <w:szCs w:val="21"/>
              </w:rPr>
              <w:t>Fund management company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境外其他资产管理机构</w:t>
            </w:r>
            <w:r>
              <w:rPr>
                <w:i/>
                <w:sz w:val="21"/>
                <w:szCs w:val="21"/>
              </w:rPr>
              <w:t>Other asset management institutions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境外央行</w:t>
            </w:r>
            <w:r>
              <w:rPr>
                <w:i/>
                <w:sz w:val="21"/>
                <w:szCs w:val="21"/>
              </w:rPr>
              <w:t>Overseas central bank or monetary authority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国际金融组织</w:t>
            </w:r>
            <w:r>
              <w:rPr>
                <w:i/>
                <w:sz w:val="21"/>
                <w:szCs w:val="21"/>
              </w:rPr>
              <w:t>International financial organization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境外人民币清算行</w:t>
            </w:r>
            <w:r>
              <w:rPr>
                <w:i/>
                <w:sz w:val="21"/>
                <w:szCs w:val="21"/>
              </w:rPr>
              <w:t>RMB clearing bank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境外保险公司</w:t>
            </w:r>
            <w:r>
              <w:rPr>
                <w:i/>
                <w:sz w:val="21"/>
                <w:szCs w:val="21"/>
              </w:rPr>
              <w:t>Insurance company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境外证券公司</w:t>
            </w:r>
            <w:r>
              <w:rPr>
                <w:i/>
                <w:sz w:val="21"/>
                <w:szCs w:val="21"/>
              </w:rPr>
              <w:t>Securities company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境外其他中长期机构投资者</w:t>
            </w:r>
            <w:r>
              <w:rPr>
                <w:i/>
                <w:sz w:val="21"/>
                <w:szCs w:val="21"/>
              </w:rPr>
              <w:t>Other medium and long-term institutional investors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境外养老基金公司</w:t>
            </w:r>
            <w:r>
              <w:rPr>
                <w:i/>
                <w:sz w:val="21"/>
                <w:szCs w:val="21"/>
              </w:rPr>
              <w:t>Pension fund company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境外慈善基金公司</w:t>
            </w:r>
            <w:r>
              <w:rPr>
                <w:i/>
                <w:sz w:val="21"/>
                <w:szCs w:val="21"/>
              </w:rPr>
              <w:t>Charity fund company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其他</w:t>
            </w:r>
            <w:r>
              <w:rPr>
                <w:i/>
                <w:sz w:val="21"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交易平台名称</w:t>
            </w:r>
          </w:p>
          <w:p>
            <w:pPr>
              <w:adjustRightInd w:val="0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eastAsia="等线"/>
                <w:bCs/>
                <w:i/>
                <w:iCs/>
                <w:sz w:val="20"/>
              </w:rPr>
              <w:t>Name of Trading Platform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 CFETS    □ Bloomberg/BBG Vcon     □ Tradeweb     □ MarketAxess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机构登录ID</w:t>
            </w:r>
          </w:p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  <w:r>
              <w:rPr>
                <w:rFonts w:hint="eastAsia" w:eastAsia="等线"/>
                <w:bCs/>
                <w:i/>
                <w:iCs/>
                <w:sz w:val="20"/>
              </w:rPr>
              <w:t>Login ID at Entity level</w:t>
            </w:r>
            <w:r>
              <w:rPr>
                <w:rFonts w:eastAsia="等线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0070C0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（请填写交易平台的登录ID）</w:t>
            </w:r>
            <w:r>
              <w:rPr>
                <w:i/>
                <w:color w:val="0070C0"/>
                <w:sz w:val="21"/>
                <w:szCs w:val="21"/>
              </w:rPr>
              <w:t>(Please provide the Trading Platform Login ID)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交易员信息</w:t>
            </w:r>
          </w:p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  <w:r>
              <w:rPr>
                <w:rFonts w:hint="eastAsia"/>
                <w:i/>
                <w:sz w:val="21"/>
                <w:szCs w:val="21"/>
              </w:rPr>
              <w:t>Trader Infomation</w:t>
            </w: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 w:ascii="宋体" w:hAnsi="宋体" w:cs="Arial"/>
                <w:i/>
                <w:iCs/>
                <w:sz w:val="21"/>
                <w:szCs w:val="21"/>
              </w:rPr>
              <w:t>N</w:t>
            </w:r>
            <w:r>
              <w:rPr>
                <w:rFonts w:hint="eastAsia"/>
                <w:i/>
                <w:iCs/>
                <w:sz w:val="21"/>
                <w:szCs w:val="21"/>
              </w:rPr>
              <w:t>ame</w:t>
            </w:r>
          </w:p>
        </w:tc>
        <w:tc>
          <w:tcPr>
            <w:tcW w:w="20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部门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Department</w:t>
            </w:r>
          </w:p>
        </w:tc>
        <w:tc>
          <w:tcPr>
            <w:tcW w:w="24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交易平台用户ID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Trader</w:t>
            </w:r>
            <w:r>
              <w:rPr>
                <w:i/>
                <w:sz w:val="21"/>
                <w:szCs w:val="21"/>
              </w:rPr>
              <w:t>’</w:t>
            </w:r>
            <w:r>
              <w:rPr>
                <w:rFonts w:hint="eastAsia"/>
                <w:i/>
                <w:sz w:val="21"/>
                <w:szCs w:val="21"/>
              </w:rPr>
              <w:t xml:space="preserve">s Login ID of Trading Platform(s) </w:t>
            </w:r>
          </w:p>
        </w:tc>
        <w:tc>
          <w:tcPr>
            <w:tcW w:w="589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等线"/>
                <w:bCs/>
                <w:i/>
                <w:iCs/>
                <w:sz w:val="20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本币交易系统用户ID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Trader</w:t>
            </w:r>
            <w:r>
              <w:rPr>
                <w:i/>
                <w:sz w:val="21"/>
                <w:szCs w:val="21"/>
              </w:rPr>
              <w:t>’</w:t>
            </w:r>
            <w:r>
              <w:rPr>
                <w:rFonts w:hint="eastAsia"/>
                <w:i/>
                <w:sz w:val="21"/>
                <w:szCs w:val="21"/>
              </w:rPr>
              <w:t xml:space="preserve">s Login ID of CFETS RMB Trading Platform </w:t>
            </w:r>
          </w:p>
        </w:tc>
        <w:tc>
          <w:tcPr>
            <w:tcW w:w="589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981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如下选项仅适用选择CFETS交易平台开展直接交易业务填写。</w:t>
            </w:r>
          </w:p>
          <w:p>
            <w:pPr>
              <w:adjustRightInd w:val="0"/>
              <w:snapToGrid w:val="0"/>
              <w:rPr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The following options are only applicable when selecting the Direct Trading on CFETS platform.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物理网络连接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Network Connection</w:t>
            </w: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</w:t>
            </w:r>
            <w:r>
              <w:rPr>
                <w:rFonts w:hint="eastAsia" w:ascii="宋体" w:hAnsi="宋体" w:cs="Arial"/>
                <w:sz w:val="21"/>
                <w:szCs w:val="21"/>
              </w:rPr>
              <w:t>申请专线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Leased Line Application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专线接入地点：</w:t>
            </w:r>
          </w:p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CFETS POP Sites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iCs/>
                <w:sz w:val="21"/>
                <w:szCs w:val="21"/>
              </w:rPr>
              <w:t>上海</w:t>
            </w:r>
            <w:r>
              <w:rPr>
                <w:rFonts w:hint="eastAsia"/>
                <w:i/>
                <w:sz w:val="21"/>
                <w:szCs w:val="21"/>
              </w:rPr>
              <w:t>Shanghai</w:t>
            </w:r>
            <w:r>
              <w:rPr>
                <w:rFonts w:hint="eastAsia"/>
                <w:iCs/>
                <w:sz w:val="21"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□北京</w:t>
            </w:r>
            <w:r>
              <w:rPr>
                <w:rFonts w:hint="eastAsia"/>
                <w:i/>
                <w:sz w:val="21"/>
                <w:szCs w:val="21"/>
              </w:rPr>
              <w:t>Beijing</w:t>
            </w:r>
            <w:r>
              <w:rPr>
                <w:rFonts w:hint="eastAsia"/>
                <w:iCs/>
                <w:sz w:val="21"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iCs/>
                <w:sz w:val="21"/>
                <w:szCs w:val="21"/>
              </w:rPr>
              <w:t>香港</w:t>
            </w:r>
            <w:r>
              <w:rPr>
                <w:rFonts w:hint="eastAsia"/>
                <w:i/>
                <w:sz w:val="21"/>
                <w:szCs w:val="21"/>
              </w:rPr>
              <w:t>Hong Kong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申请专线运营商：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Service Provider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上海和北京：□中国电信  □新联通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SH&amp;BJ: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i/>
                <w:iCs/>
                <w:sz w:val="22"/>
                <w:szCs w:val="22"/>
              </w:rPr>
              <w:t>Telecom</w:t>
            </w:r>
            <w:r>
              <w:rPr>
                <w:sz w:val="22"/>
                <w:szCs w:val="22"/>
              </w:rPr>
              <w:t xml:space="preserve">  □ </w:t>
            </w:r>
            <w:r>
              <w:rPr>
                <w:i/>
                <w:iCs/>
                <w:sz w:val="22"/>
                <w:szCs w:val="22"/>
              </w:rPr>
              <w:t>Unicom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香港地区：□电讯盈科  □和记环球 □香港宽频</w:t>
            </w:r>
          </w:p>
          <w:p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Hong Kong: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i/>
                <w:iCs/>
                <w:sz w:val="22"/>
                <w:szCs w:val="22"/>
              </w:rPr>
              <w:t>PCCW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i/>
                <w:iCs/>
                <w:sz w:val="22"/>
                <w:szCs w:val="22"/>
              </w:rPr>
              <w:t>HGC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i/>
                <w:iCs/>
                <w:sz w:val="22"/>
                <w:szCs w:val="22"/>
              </w:rPr>
              <w:t>HKBN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申请专线类型：</w:t>
            </w:r>
          </w:p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Leased Line Type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 xml:space="preserve">□ </w:t>
            </w:r>
            <w:r>
              <w:rPr>
                <w:rFonts w:hint="eastAsia"/>
                <w:i/>
                <w:sz w:val="21"/>
                <w:szCs w:val="21"/>
              </w:rPr>
              <w:t>SDH</w:t>
            </w:r>
            <w:r>
              <w:rPr>
                <w:rFonts w:hint="eastAsia"/>
                <w:iCs/>
                <w:sz w:val="21"/>
                <w:szCs w:val="21"/>
              </w:rPr>
              <w:t xml:space="preserve">     □ </w:t>
            </w:r>
            <w:r>
              <w:rPr>
                <w:rFonts w:hint="eastAsia"/>
                <w:i/>
                <w:sz w:val="21"/>
                <w:szCs w:val="21"/>
              </w:rPr>
              <w:t>MSTP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申请专线带宽：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Bandwidth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专线安装地址：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i/>
                <w:sz w:val="21"/>
                <w:szCs w:val="21"/>
              </w:rPr>
              <w:t>Geographical Address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</w:t>
            </w:r>
            <w:r>
              <w:rPr>
                <w:rFonts w:hint="eastAsia" w:ascii="宋体" w:hAnsi="宋体" w:cs="Arial"/>
                <w:sz w:val="21"/>
                <w:szCs w:val="21"/>
              </w:rPr>
              <w:t>专线复用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 xml:space="preserve">Leased Line </w:t>
            </w:r>
            <w:r>
              <w:rPr>
                <w:sz w:val="22"/>
                <w:szCs w:val="22"/>
              </w:rPr>
              <w:t>Multiplexing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在用专线编号：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i/>
                <w:sz w:val="21"/>
                <w:szCs w:val="21"/>
              </w:rPr>
              <w:t>Leased Line NO.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广域网地址：</w:t>
            </w: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WAN Address to CFETS Router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□申请MPLS VPN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MPLS VPN Application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MPLS VPN增值服务商：</w:t>
            </w:r>
          </w:p>
          <w:p>
            <w:pPr>
              <w:adjustRightInd w:val="0"/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rFonts w:hint="eastAsia"/>
                <w:i/>
                <w:sz w:val="21"/>
                <w:szCs w:val="21"/>
              </w:rPr>
              <w:t>MPLS VPN Service Provider</w:t>
            </w:r>
          </w:p>
        </w:tc>
        <w:tc>
          <w:tcPr>
            <w:tcW w:w="5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 xml:space="preserve">□ </w:t>
            </w:r>
            <w:r>
              <w:rPr>
                <w:rFonts w:hint="eastAsia"/>
                <w:i/>
                <w:sz w:val="21"/>
                <w:szCs w:val="21"/>
              </w:rPr>
              <w:t xml:space="preserve">BT Radianz </w:t>
            </w:r>
            <w:r>
              <w:rPr>
                <w:rFonts w:hint="eastAsia"/>
                <w:iCs/>
                <w:sz w:val="21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6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申请专线带宽：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i/>
                <w:iCs/>
                <w:sz w:val="22"/>
                <w:szCs w:val="22"/>
              </w:rPr>
              <w:t>Bandwidth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Cs/>
                <w:sz w:val="21"/>
                <w:szCs w:val="21"/>
              </w:rPr>
              <w:t>专线安装地址：</w:t>
            </w:r>
          </w:p>
          <w:p>
            <w:pPr>
              <w:adjustRightInd w:val="0"/>
              <w:snapToGrid w:val="0"/>
              <w:rPr>
                <w:rFonts w:hint="eastAsia"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Geographical Address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本币交易系统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数字证书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CFETS RMB Trading Digital Certificate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i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贰 个(</w:t>
            </w:r>
            <w:r>
              <w:rPr>
                <w:rFonts w:hint="eastAsia"/>
                <w:i/>
                <w:sz w:val="21"/>
                <w:szCs w:val="21"/>
              </w:rPr>
              <w:t>CFETS provides 2 free digital certificates for new market members</w:t>
            </w:r>
            <w:r>
              <w:rPr>
                <w:rFonts w:hint="eastAsia"/>
                <w:i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拟选送参加本币交易员培训人员信息</w:t>
            </w:r>
          </w:p>
          <w:p>
            <w:pPr>
              <w:widowControl/>
              <w:adjustRightInd w:val="0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Information of the nominated personnel for the RMB Training</w:t>
            </w: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Name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证件类型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Type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□护照 </w:t>
            </w:r>
            <w:r>
              <w:rPr>
                <w:i/>
                <w:sz w:val="21"/>
                <w:szCs w:val="21"/>
              </w:rPr>
              <w:t xml:space="preserve">Passport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□身份证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ID Card 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□其他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证件号码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Number</w:t>
            </w:r>
          </w:p>
        </w:tc>
        <w:tc>
          <w:tcPr>
            <w:tcW w:w="59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Name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证件类型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Type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□护照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Passport </w:t>
            </w:r>
          </w:p>
          <w:p>
            <w:pPr>
              <w:adjustRightInd w:val="0"/>
              <w:snapToGrid w:val="0"/>
              <w:rPr>
                <w:rFonts w:ascii="宋体" w:hAnsi="宋体" w:cs="Arial"/>
                <w:i/>
                <w:i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□身份证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ID Card 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□其他</w:t>
            </w:r>
            <w:r>
              <w:rPr>
                <w:rFonts w:ascii="宋体" w:hAnsi="宋体" w:cs="Arial"/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证件号码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ID Number</w:t>
            </w:r>
          </w:p>
        </w:tc>
        <w:tc>
          <w:tcPr>
            <w:tcW w:w="59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i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业务申请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经办人信息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Information of operator responsible for the Application</w:t>
            </w: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姓名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i/>
                <w:iCs/>
                <w:sz w:val="21"/>
                <w:szCs w:val="21"/>
              </w:rPr>
              <w:t>N</w:t>
            </w:r>
            <w:r>
              <w:rPr>
                <w:rFonts w:hint="eastAsia"/>
                <w:i/>
                <w:iCs/>
                <w:sz w:val="21"/>
                <w:szCs w:val="21"/>
              </w:rPr>
              <w:t>ame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部门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Department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办公电话</w:t>
            </w:r>
          </w:p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i/>
                <w:iCs/>
                <w:sz w:val="21"/>
                <w:szCs w:val="21"/>
              </w:rPr>
              <w:t>Telephone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电子邮箱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Email</w:t>
            </w:r>
          </w:p>
        </w:tc>
        <w:tc>
          <w:tcPr>
            <w:tcW w:w="25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通讯地址</w:t>
            </w:r>
          </w:p>
          <w:p>
            <w:pPr>
              <w:widowControl/>
              <w:adjustRightInd w:val="0"/>
              <w:snapToGrid w:val="0"/>
              <w:jc w:val="left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Address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(Include Zip Code)</w:t>
            </w:r>
          </w:p>
        </w:tc>
        <w:tc>
          <w:tcPr>
            <w:tcW w:w="592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申请日期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Application Date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9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盖章/负责人签字</w:t>
            </w:r>
            <w:r>
              <w:rPr>
                <w:rFonts w:eastAsia="等线"/>
                <w:sz w:val="20"/>
              </w:rPr>
              <w:br w:type="textWrapping"/>
            </w:r>
            <w:r>
              <w:rPr>
                <w:rFonts w:hint="eastAsia"/>
                <w:i/>
                <w:sz w:val="21"/>
                <w:szCs w:val="21"/>
              </w:rPr>
              <w:t>Official Seal/Signature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</w:tbl>
    <w:p>
      <w:pPr>
        <w:snapToGrid w:val="0"/>
        <w:rPr>
          <w:rFonts w:hint="eastAsia"/>
          <w:sz w:val="10"/>
          <w:szCs w:val="10"/>
        </w:rPr>
      </w:pPr>
    </w:p>
    <w:p>
      <w:pPr>
        <w:snapToGrid w:val="0"/>
        <w:rPr>
          <w:rFonts w:hint="eastAsia"/>
          <w:sz w:val="10"/>
          <w:szCs w:val="1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eijing">
    <w:altName w:val="华文中宋"/>
    <w:panose1 w:val="00000000000000000000"/>
    <w:charset w:val="86"/>
    <w:family w:val="auto"/>
    <w:pitch w:val="default"/>
    <w:sig w:usb0="00000000" w:usb1="00000000" w:usb2="1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firstLine="560"/>
      <w:rPr>
        <w:rStyle w:val="14"/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14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4"/>
        <w:rFonts w:ascii="宋体" w:hAnsi="宋体"/>
        <w:sz w:val="28"/>
      </w:rPr>
      <w:t>- 3 -</w:t>
    </w:r>
    <w:r>
      <w:rPr>
        <w:rFonts w:ascii="宋体" w:hAnsi="宋体"/>
        <w:sz w:val="28"/>
      </w:rPr>
      <w:fldChar w:fldCharType="end"/>
    </w:r>
  </w:p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D4"/>
    <w:rsid w:val="00006EF6"/>
    <w:rsid w:val="000B28F1"/>
    <w:rsid w:val="000D5DA6"/>
    <w:rsid w:val="000F79B8"/>
    <w:rsid w:val="00170D7E"/>
    <w:rsid w:val="00185092"/>
    <w:rsid w:val="001E7293"/>
    <w:rsid w:val="001F658E"/>
    <w:rsid w:val="00220DC1"/>
    <w:rsid w:val="002941F8"/>
    <w:rsid w:val="002A0319"/>
    <w:rsid w:val="0047430C"/>
    <w:rsid w:val="005265F3"/>
    <w:rsid w:val="005A2D37"/>
    <w:rsid w:val="005A7DC1"/>
    <w:rsid w:val="005E141E"/>
    <w:rsid w:val="005F260D"/>
    <w:rsid w:val="00644259"/>
    <w:rsid w:val="006E6A78"/>
    <w:rsid w:val="00727718"/>
    <w:rsid w:val="007A5C4A"/>
    <w:rsid w:val="008E6CC2"/>
    <w:rsid w:val="00AA18D4"/>
    <w:rsid w:val="00B678E5"/>
    <w:rsid w:val="00C0770D"/>
    <w:rsid w:val="00C94F5E"/>
    <w:rsid w:val="00D20408"/>
    <w:rsid w:val="00DF40A5"/>
    <w:rsid w:val="00E469EC"/>
    <w:rsid w:val="00E833A5"/>
    <w:rsid w:val="00EA6288"/>
    <w:rsid w:val="00F37ABE"/>
    <w:rsid w:val="00FA11E2"/>
    <w:rsid w:val="00FB63AF"/>
    <w:rsid w:val="00FD469F"/>
    <w:rsid w:val="1FBD2C24"/>
    <w:rsid w:val="4A69016D"/>
    <w:rsid w:val="6ADD2FEF"/>
    <w:rsid w:val="8FFF4559"/>
    <w:rsid w:val="DFE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130"/>
    </w:pPr>
    <w:rPr>
      <w:rFonts w:ascii="Times New Roman" w:hAnsi="Times New Roman" w:eastAsia="Times New Roman" w:cs="Times New Roman"/>
      <w:sz w:val="29"/>
      <w:szCs w:val="29"/>
      <w:lang w:val="en-US" w:eastAsia="en-US" w:bidi="ar-SA"/>
    </w:rPr>
  </w:style>
  <w:style w:type="paragraph" w:styleId="4">
    <w:name w:val="Plain Text"/>
    <w:basedOn w:val="1"/>
    <w:link w:val="17"/>
    <w:qFormat/>
    <w:uiPriority w:val="99"/>
    <w:rPr>
      <w:rFonts w:ascii="Beijing" w:hAnsi="Times" w:eastAsia="Beijing"/>
      <w:kern w:val="0"/>
      <w:sz w:val="24"/>
      <w:szCs w:val="20"/>
      <w:lang w:eastAsia="zh-TW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8"/>
    <w:unhideWhenUsed/>
    <w:qFormat/>
    <w:uiPriority w:val="99"/>
    <w:pPr>
      <w:snapToGrid w:val="0"/>
      <w:jc w:val="left"/>
    </w:pPr>
    <w:rPr>
      <w:rFonts w:ascii="Calibri" w:hAnsi="Calibr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qFormat/>
    <w:uiPriority w:val="1"/>
    <w:pPr>
      <w:spacing w:before="21"/>
      <w:ind w:left="130" w:right="256"/>
      <w:jc w:val="center"/>
    </w:pPr>
    <w:rPr>
      <w:rFonts w:ascii="Microsoft JhengHei" w:hAnsi="Microsoft JhengHei" w:eastAsia="Microsoft JhengHei" w:cs="Microsoft JhengHei"/>
      <w:b/>
      <w:bCs/>
      <w:sz w:val="45"/>
      <w:szCs w:val="45"/>
      <w:lang w:val="en-US" w:eastAsia="en-US" w:bidi="ar-SA"/>
    </w:rPr>
  </w:style>
  <w:style w:type="paragraph" w:styleId="11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character" w:customStyle="1" w:styleId="17">
    <w:name w:val="纯文本 字符"/>
    <w:basedOn w:val="13"/>
    <w:link w:val="4"/>
    <w:qFormat/>
    <w:uiPriority w:val="99"/>
    <w:rPr>
      <w:rFonts w:ascii="Beijing" w:hAnsi="Times" w:eastAsia="Beijing" w:cs="Times New Roman"/>
      <w:kern w:val="0"/>
      <w:sz w:val="24"/>
      <w:szCs w:val="20"/>
      <w:lang w:eastAsia="zh-TW"/>
    </w:rPr>
  </w:style>
  <w:style w:type="character" w:customStyle="1" w:styleId="18">
    <w:name w:val="脚注文本 字符"/>
    <w:link w:val="8"/>
    <w:qFormat/>
    <w:uiPriority w:val="99"/>
    <w:rPr>
      <w:rFonts w:ascii="Calibri" w:hAnsi="Calibri"/>
      <w:sz w:val="18"/>
      <w:szCs w:val="18"/>
    </w:rPr>
  </w:style>
  <w:style w:type="character" w:customStyle="1" w:styleId="19">
    <w:name w:val="脚注文本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批注文字 字符"/>
    <w:basedOn w:val="13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字符"/>
    <w:basedOn w:val="21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3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脚 字符"/>
    <w:basedOn w:val="13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List Paragraph"/>
    <w:basedOn w:val="1"/>
    <w:qFormat/>
    <w:uiPriority w:val="1"/>
    <w:pPr>
      <w:spacing w:line="354" w:lineRule="exact"/>
      <w:ind w:left="1059" w:hanging="368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804</Words>
  <Characters>4584</Characters>
  <Lines>38</Lines>
  <Paragraphs>10</Paragraphs>
  <TotalTime>4</TotalTime>
  <ScaleCrop>false</ScaleCrop>
  <LinksUpToDate>false</LinksUpToDate>
  <CharactersWithSpaces>5378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2025-08-22T10:01:00Z</dcterms:created>
  <dc:creator>Lenovo User</dc:creator>
  <cp:lastModifiedBy>qinjian</cp:lastModifiedBy>
  <dcterms:modified xsi:type="dcterms:W3CDTF">2025-09-09T14:58:22Z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2F08D3D7A097E9BCF94A9C68F3264BE0</vt:lpwstr>
  </property>
</Properties>
</file>