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D8" w:rsidRDefault="005F490E">
      <w:pPr>
        <w:spacing w:line="580" w:lineRule="exact"/>
        <w:jc w:val="left"/>
        <w:rPr>
          <w:rFonts w:ascii="黑体" w:eastAsia="黑体" w:hAnsi="黑体"/>
          <w:bCs/>
          <w:kern w:val="44"/>
          <w:sz w:val="32"/>
          <w:szCs w:val="32"/>
        </w:rPr>
      </w:pPr>
      <w:bookmarkStart w:id="0" w:name="_Toc81838203"/>
      <w:r>
        <w:rPr>
          <w:rFonts w:ascii="黑体" w:eastAsia="黑体" w:hAnsi="黑体"/>
          <w:bCs/>
          <w:kern w:val="44"/>
          <w:sz w:val="32"/>
          <w:szCs w:val="32"/>
        </w:rPr>
        <w:t>附件1</w:t>
      </w:r>
    </w:p>
    <w:p w:rsidR="005663D8" w:rsidRDefault="005663D8">
      <w:pPr>
        <w:spacing w:line="580" w:lineRule="exact"/>
        <w:jc w:val="left"/>
        <w:rPr>
          <w:rFonts w:ascii="黑体" w:eastAsia="黑体" w:hAnsi="黑体"/>
          <w:bCs/>
          <w:kern w:val="44"/>
          <w:sz w:val="32"/>
          <w:szCs w:val="32"/>
        </w:rPr>
      </w:pPr>
    </w:p>
    <w:p w:rsidR="005663D8" w:rsidRDefault="005F490E">
      <w:pPr>
        <w:spacing w:line="580" w:lineRule="exact"/>
        <w:jc w:val="center"/>
        <w:rPr>
          <w:rFonts w:asciiTheme="majorEastAsia" w:eastAsiaTheme="majorEastAsia" w:hAnsiTheme="majorEastAsia"/>
          <w:b/>
          <w:sz w:val="44"/>
          <w:szCs w:val="44"/>
        </w:rPr>
      </w:pPr>
      <w:r>
        <w:rPr>
          <w:rFonts w:asciiTheme="majorEastAsia" w:eastAsiaTheme="majorEastAsia" w:hAnsiTheme="majorEastAsia"/>
          <w:b/>
          <w:sz w:val="44"/>
          <w:szCs w:val="44"/>
        </w:rPr>
        <w:t>银行间市场清算所股份有限公司</w:t>
      </w:r>
    </w:p>
    <w:p w:rsidR="005663D8" w:rsidRDefault="005F490E">
      <w:pPr>
        <w:spacing w:line="580" w:lineRule="exact"/>
        <w:jc w:val="center"/>
        <w:rPr>
          <w:rFonts w:asciiTheme="majorEastAsia" w:eastAsiaTheme="majorEastAsia" w:hAnsiTheme="majorEastAsia"/>
          <w:b/>
          <w:sz w:val="44"/>
          <w:szCs w:val="44"/>
        </w:rPr>
      </w:pPr>
      <w:r>
        <w:rPr>
          <w:rFonts w:asciiTheme="majorEastAsia" w:eastAsiaTheme="majorEastAsia" w:hAnsiTheme="majorEastAsia"/>
          <w:b/>
          <w:sz w:val="44"/>
          <w:szCs w:val="44"/>
        </w:rPr>
        <w:t>境外机构投资者债券回购交易清算结算</w:t>
      </w:r>
    </w:p>
    <w:p w:rsidR="005663D8" w:rsidRDefault="005F490E">
      <w:pPr>
        <w:spacing w:line="580" w:lineRule="exact"/>
        <w:jc w:val="center"/>
        <w:rPr>
          <w:rFonts w:asciiTheme="majorEastAsia" w:eastAsiaTheme="majorEastAsia" w:hAnsiTheme="majorEastAsia"/>
          <w:b/>
          <w:sz w:val="44"/>
          <w:szCs w:val="44"/>
        </w:rPr>
      </w:pPr>
      <w:r>
        <w:rPr>
          <w:rFonts w:asciiTheme="majorEastAsia" w:eastAsiaTheme="majorEastAsia" w:hAnsiTheme="majorEastAsia"/>
          <w:b/>
          <w:sz w:val="44"/>
          <w:szCs w:val="44"/>
        </w:rPr>
        <w:t>业务</w:t>
      </w:r>
      <w:r>
        <w:rPr>
          <w:rFonts w:asciiTheme="majorEastAsia" w:eastAsiaTheme="majorEastAsia" w:hAnsiTheme="majorEastAsia" w:hint="eastAsia"/>
          <w:b/>
          <w:sz w:val="44"/>
          <w:szCs w:val="44"/>
        </w:rPr>
        <w:t>规则</w:t>
      </w:r>
    </w:p>
    <w:p w:rsidR="005663D8" w:rsidRDefault="005663D8">
      <w:pPr>
        <w:spacing w:line="580" w:lineRule="exact"/>
        <w:ind w:firstLineChars="200" w:firstLine="640"/>
        <w:rPr>
          <w:rFonts w:ascii="仿宋" w:eastAsia="仿宋" w:hAnsi="仿宋"/>
          <w:sz w:val="32"/>
          <w:szCs w:val="32"/>
        </w:rPr>
      </w:pPr>
    </w:p>
    <w:p w:rsidR="005663D8"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rPr>
        <w:t>为深化债券市场对外开放，便利境外机构投资者开展银行间债券市场债券回购业务，银行间市场清算所股份有限公司（以下简称“上海清算所”）根据《银行间债券市场债券登记托管结算管理办法》（中国人民银行令〔200</w:t>
      </w:r>
      <w:r>
        <w:rPr>
          <w:rFonts w:ascii="仿宋" w:eastAsia="仿宋" w:hAnsi="仿宋"/>
          <w:sz w:val="32"/>
          <w:szCs w:val="32"/>
        </w:rPr>
        <w:t>9</w:t>
      </w:r>
      <w:r>
        <w:rPr>
          <w:rFonts w:ascii="仿宋" w:eastAsia="仿宋" w:hAnsi="仿宋" w:hint="eastAsia"/>
          <w:sz w:val="32"/>
          <w:szCs w:val="32"/>
        </w:rPr>
        <w:t>〕第1号）、《关于进一步支持境外机构投资者</w:t>
      </w:r>
      <w:r w:rsidR="00E21E1A">
        <w:rPr>
          <w:rFonts w:ascii="仿宋" w:eastAsia="仿宋" w:hAnsi="仿宋" w:hint="eastAsia"/>
          <w:sz w:val="32"/>
          <w:szCs w:val="32"/>
        </w:rPr>
        <w:t>在中国债券市</w:t>
      </w:r>
      <w:bookmarkStart w:id="1" w:name="_GoBack"/>
      <w:bookmarkEnd w:id="1"/>
      <w:r w:rsidR="00E21E1A">
        <w:rPr>
          <w:rFonts w:ascii="仿宋" w:eastAsia="仿宋" w:hAnsi="仿宋" w:hint="eastAsia"/>
          <w:sz w:val="32"/>
          <w:szCs w:val="32"/>
        </w:rPr>
        <w:t>场</w:t>
      </w:r>
      <w:r>
        <w:rPr>
          <w:rFonts w:ascii="仿宋" w:eastAsia="仿宋" w:hAnsi="仿宋" w:hint="eastAsia"/>
          <w:sz w:val="32"/>
          <w:szCs w:val="32"/>
        </w:rPr>
        <w:t>开展债券回购业务的公告》（中国人民银行</w:t>
      </w:r>
      <w:r w:rsidR="00313DDC">
        <w:rPr>
          <w:rFonts w:ascii="仿宋" w:eastAsia="仿宋" w:hAnsi="仿宋" w:hint="eastAsia"/>
          <w:sz w:val="32"/>
          <w:szCs w:val="32"/>
        </w:rPr>
        <w:t xml:space="preserve"> 中国证监会 国家外汇局</w:t>
      </w:r>
      <w:r>
        <w:rPr>
          <w:rFonts w:ascii="仿宋" w:eastAsia="仿宋" w:hAnsi="仿宋" w:hint="eastAsia"/>
          <w:sz w:val="32"/>
          <w:szCs w:val="32"/>
        </w:rPr>
        <w:t>公告〔</w:t>
      </w:r>
      <w:r w:rsidR="001A4B21">
        <w:rPr>
          <w:rFonts w:ascii="仿宋" w:eastAsia="仿宋" w:hAnsi="仿宋" w:hint="eastAsia"/>
          <w:sz w:val="32"/>
          <w:szCs w:val="32"/>
        </w:rPr>
        <w:t>202</w:t>
      </w:r>
      <w:r w:rsidR="001A4B21">
        <w:rPr>
          <w:rFonts w:ascii="仿宋" w:eastAsia="仿宋" w:hAnsi="仿宋"/>
          <w:sz w:val="32"/>
          <w:szCs w:val="32"/>
        </w:rPr>
        <w:t>5</w:t>
      </w:r>
      <w:r>
        <w:rPr>
          <w:rFonts w:ascii="仿宋" w:eastAsia="仿宋" w:hAnsi="仿宋" w:hint="eastAsia"/>
          <w:sz w:val="32"/>
          <w:szCs w:val="32"/>
        </w:rPr>
        <w:t>〕第</w:t>
      </w:r>
      <w:r w:rsidR="00313DDC">
        <w:rPr>
          <w:rFonts w:ascii="仿宋" w:eastAsia="仿宋" w:hAnsi="仿宋" w:hint="eastAsia"/>
          <w:sz w:val="32"/>
          <w:szCs w:val="32"/>
        </w:rPr>
        <w:t>21</w:t>
      </w:r>
      <w:r>
        <w:rPr>
          <w:rFonts w:ascii="仿宋" w:eastAsia="仿宋" w:hAnsi="仿宋" w:hint="eastAsia"/>
          <w:sz w:val="32"/>
          <w:szCs w:val="32"/>
        </w:rPr>
        <w:t>号，以下简称《公告》）、《银行间市场清算所股份有限公司债券登记托管、清算结算业务规则》（清算所公告〔2014〕13号）等相关规定制定本规则。</w:t>
      </w:r>
    </w:p>
    <w:p w:rsidR="005663D8" w:rsidRDefault="005F490E">
      <w:pPr>
        <w:numPr>
          <w:ilvl w:val="0"/>
          <w:numId w:val="1"/>
        </w:numPr>
        <w:spacing w:line="580" w:lineRule="exact"/>
        <w:ind w:firstLine="640"/>
        <w:rPr>
          <w:rFonts w:ascii="仿宋" w:eastAsia="仿宋" w:hAnsi="仿宋"/>
          <w:sz w:val="32"/>
          <w:szCs w:val="32"/>
        </w:rPr>
      </w:pPr>
      <w:r>
        <w:rPr>
          <w:rFonts w:ascii="仿宋" w:eastAsia="仿宋" w:hAnsi="仿宋" w:hint="eastAsia"/>
          <w:sz w:val="32"/>
          <w:szCs w:val="32"/>
        </w:rPr>
        <w:t>本规则所称</w:t>
      </w:r>
      <w:r>
        <w:rPr>
          <w:rFonts w:ascii="仿宋" w:eastAsia="仿宋" w:hAnsi="仿宋"/>
          <w:sz w:val="32"/>
          <w:szCs w:val="32"/>
        </w:rPr>
        <w:t>境外机构投资者，是指</w:t>
      </w:r>
      <w:r>
        <w:rPr>
          <w:rFonts w:ascii="仿宋" w:eastAsia="仿宋" w:hAnsi="仿宋" w:hint="eastAsia"/>
          <w:sz w:val="32"/>
          <w:szCs w:val="32"/>
        </w:rPr>
        <w:t>符合《公告》要求，可在银行间债券市场开展现</w:t>
      </w:r>
      <w:proofErr w:type="gramStart"/>
      <w:r>
        <w:rPr>
          <w:rFonts w:ascii="仿宋" w:eastAsia="仿宋" w:hAnsi="仿宋" w:hint="eastAsia"/>
          <w:sz w:val="32"/>
          <w:szCs w:val="32"/>
        </w:rPr>
        <w:t>券</w:t>
      </w:r>
      <w:proofErr w:type="gramEnd"/>
      <w:r>
        <w:rPr>
          <w:rFonts w:ascii="仿宋" w:eastAsia="仿宋" w:hAnsi="仿宋" w:hint="eastAsia"/>
          <w:sz w:val="32"/>
          <w:szCs w:val="32"/>
        </w:rPr>
        <w:t>交易的境外机构投资者。</w:t>
      </w:r>
    </w:p>
    <w:p w:rsidR="00C94A7E"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sz w:val="32"/>
          <w:szCs w:val="32"/>
        </w:rPr>
        <w:t>本规则适用于</w:t>
      </w:r>
      <w:r w:rsidR="00BE5D43">
        <w:rPr>
          <w:rFonts w:ascii="仿宋" w:eastAsia="仿宋" w:hAnsi="仿宋" w:hint="eastAsia"/>
          <w:sz w:val="32"/>
          <w:szCs w:val="32"/>
        </w:rPr>
        <w:t>境外</w:t>
      </w:r>
      <w:r w:rsidR="00BE5D43">
        <w:rPr>
          <w:rFonts w:ascii="仿宋" w:eastAsia="仿宋" w:hAnsi="仿宋"/>
          <w:sz w:val="32"/>
          <w:szCs w:val="32"/>
        </w:rPr>
        <w:t>机构投资者</w:t>
      </w:r>
      <w:r>
        <w:rPr>
          <w:rFonts w:ascii="仿宋" w:eastAsia="仿宋" w:hAnsi="仿宋"/>
          <w:sz w:val="32"/>
          <w:szCs w:val="32"/>
        </w:rPr>
        <w:t>使用在上海清算所托管的债券</w:t>
      </w:r>
      <w:r>
        <w:rPr>
          <w:rFonts w:ascii="仿宋" w:eastAsia="仿宋" w:hAnsi="仿宋" w:hint="eastAsia"/>
          <w:sz w:val="32"/>
          <w:szCs w:val="32"/>
        </w:rPr>
        <w:t>（含金融债券、非金融企业债务融资工具、货币市场工具等）</w:t>
      </w:r>
      <w:r w:rsidR="00BE5D43">
        <w:rPr>
          <w:rFonts w:ascii="仿宋" w:eastAsia="仿宋" w:hAnsi="仿宋" w:hint="eastAsia"/>
          <w:sz w:val="32"/>
          <w:szCs w:val="32"/>
        </w:rPr>
        <w:t>在银行间债券市场</w:t>
      </w:r>
      <w:r>
        <w:rPr>
          <w:rFonts w:ascii="仿宋" w:eastAsia="仿宋" w:hAnsi="仿宋" w:hint="eastAsia"/>
          <w:sz w:val="32"/>
          <w:szCs w:val="32"/>
        </w:rPr>
        <w:t>开展的债券回购业务。</w:t>
      </w:r>
    </w:p>
    <w:p w:rsidR="005663D8" w:rsidRDefault="00C94A7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rPr>
        <w:t>境外机构投资者可通过结算代理模式或“债券通”北向通（以下简称“北向通”）渠道进入银行间债券市场开展债</w:t>
      </w:r>
      <w:r>
        <w:rPr>
          <w:rFonts w:ascii="仿宋" w:eastAsia="仿宋" w:hAnsi="仿宋" w:hint="eastAsia"/>
          <w:sz w:val="32"/>
          <w:szCs w:val="32"/>
        </w:rPr>
        <w:lastRenderedPageBreak/>
        <w:t>券回购业务。“北向通”渠道境外机构投资者，应与经中国人民银行认可的做市商开展债券回购业务。</w:t>
      </w:r>
    </w:p>
    <w:p w:rsidR="005663D8" w:rsidRDefault="005F490E">
      <w:pPr>
        <w:numPr>
          <w:ilvl w:val="0"/>
          <w:numId w:val="1"/>
        </w:numPr>
        <w:spacing w:line="580" w:lineRule="exact"/>
        <w:ind w:firstLine="640"/>
        <w:rPr>
          <w:rFonts w:ascii="仿宋" w:eastAsia="仿宋" w:hAnsi="仿宋"/>
          <w:sz w:val="32"/>
          <w:szCs w:val="32"/>
        </w:rPr>
      </w:pPr>
      <w:r>
        <w:rPr>
          <w:rFonts w:ascii="仿宋" w:eastAsia="仿宋" w:hAnsi="仿宋" w:hint="eastAsia"/>
          <w:sz w:val="32"/>
          <w:szCs w:val="32"/>
        </w:rPr>
        <w:t>境外机构投资者开展债券回购业务，应当遵守法律法规、部门规章、规范性文件、本</w:t>
      </w:r>
      <w:r>
        <w:rPr>
          <w:rFonts w:ascii="仿宋" w:eastAsia="仿宋" w:hAnsi="仿宋"/>
          <w:sz w:val="32"/>
          <w:szCs w:val="32"/>
        </w:rPr>
        <w:t>规则以及</w:t>
      </w:r>
      <w:r>
        <w:rPr>
          <w:rFonts w:ascii="仿宋" w:eastAsia="仿宋" w:hAnsi="仿宋" w:hint="eastAsia"/>
          <w:sz w:val="32"/>
          <w:szCs w:val="32"/>
        </w:rPr>
        <w:t>上海清算</w:t>
      </w:r>
      <w:proofErr w:type="gramStart"/>
      <w:r>
        <w:rPr>
          <w:rFonts w:ascii="仿宋" w:eastAsia="仿宋" w:hAnsi="仿宋" w:hint="eastAsia"/>
          <w:sz w:val="32"/>
          <w:szCs w:val="32"/>
        </w:rPr>
        <w:t>所其他</w:t>
      </w:r>
      <w:proofErr w:type="gramEnd"/>
      <w:r>
        <w:rPr>
          <w:rFonts w:ascii="仿宋" w:eastAsia="仿宋" w:hAnsi="仿宋" w:hint="eastAsia"/>
          <w:sz w:val="32"/>
          <w:szCs w:val="32"/>
        </w:rPr>
        <w:t>相关规定，并按相关要求签署债券回购主协议。</w:t>
      </w:r>
    </w:p>
    <w:p w:rsidR="005663D8"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rPr>
        <w:t>采用结算代理模式的境外机构投资者应以自身名义在上海清算所开立债券账户与资金结算专户，并委托结算代理人通过上海清算所办理债券回购清算结算相关业务；</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rPr>
        <w:t>“北向通”渠道境外机构投资者，应委托香港金融管理局债务工具中央结算系统（以下简称“CMU”）使用其开立在上海清算所的名义持有人账户，并通过人民币跨境支付系统办理债券回购清算结算相关业务，</w:t>
      </w:r>
      <w:r>
        <w:rPr>
          <w:rFonts w:ascii="仿宋" w:eastAsia="仿宋" w:hAnsi="仿宋"/>
          <w:sz w:val="32"/>
          <w:szCs w:val="32"/>
        </w:rPr>
        <w:t>CMU为在其开立名义持有人债券账户和自营债券账户的境外机构投资者</w:t>
      </w:r>
      <w:r>
        <w:rPr>
          <w:rFonts w:ascii="仿宋" w:eastAsia="仿宋" w:hAnsi="仿宋" w:hint="eastAsia"/>
          <w:sz w:val="32"/>
          <w:szCs w:val="32"/>
        </w:rPr>
        <w:t>提供债券回购清算结算相关服务。</w:t>
      </w:r>
    </w:p>
    <w:p w:rsidR="005663D8" w:rsidRDefault="005F490E">
      <w:pPr>
        <w:numPr>
          <w:ilvl w:val="0"/>
          <w:numId w:val="1"/>
        </w:numPr>
        <w:spacing w:line="580" w:lineRule="exact"/>
        <w:ind w:firstLine="640"/>
        <w:rPr>
          <w:rFonts w:ascii="仿宋" w:eastAsia="仿宋" w:hAnsi="仿宋"/>
          <w:sz w:val="32"/>
          <w:szCs w:val="32"/>
        </w:rPr>
      </w:pPr>
      <w:r>
        <w:rPr>
          <w:rFonts w:ascii="仿宋" w:eastAsia="仿宋" w:hAnsi="仿宋" w:hint="eastAsia"/>
          <w:sz w:val="32"/>
          <w:szCs w:val="32"/>
        </w:rPr>
        <w:t>上海清算所为境外机构投资者在交易平台达成的</w:t>
      </w:r>
      <w:r w:rsidR="009A212E">
        <w:rPr>
          <w:rFonts w:ascii="仿宋" w:eastAsia="仿宋" w:hAnsi="仿宋" w:hint="eastAsia"/>
          <w:sz w:val="32"/>
          <w:szCs w:val="32"/>
        </w:rPr>
        <w:t>债券</w:t>
      </w:r>
      <w:r>
        <w:rPr>
          <w:rFonts w:ascii="仿宋" w:eastAsia="仿宋" w:hAnsi="仿宋" w:hint="eastAsia"/>
          <w:sz w:val="32"/>
          <w:szCs w:val="32"/>
        </w:rPr>
        <w:t>回购交易提供券款对付（DVP）结算方式的全额清算、逐笔结算服务。</w:t>
      </w:r>
    </w:p>
    <w:p w:rsidR="005663D8" w:rsidRDefault="005F490E">
      <w:pPr>
        <w:spacing w:line="580" w:lineRule="exact"/>
        <w:ind w:firstLineChars="200" w:firstLine="640"/>
        <w:rPr>
          <w:rFonts w:ascii="仿宋" w:eastAsia="仿宋" w:hAnsi="仿宋"/>
          <w:sz w:val="32"/>
          <w:szCs w:val="32"/>
        </w:rPr>
      </w:pPr>
      <w:r>
        <w:rPr>
          <w:rFonts w:ascii="仿宋" w:eastAsia="仿宋" w:hAnsi="仿宋"/>
          <w:sz w:val="32"/>
          <w:szCs w:val="32"/>
        </w:rPr>
        <w:t>就通过</w:t>
      </w:r>
      <w:r>
        <w:rPr>
          <w:rFonts w:ascii="仿宋" w:eastAsia="仿宋" w:hAnsi="仿宋" w:hint="eastAsia"/>
          <w:sz w:val="32"/>
          <w:szCs w:val="32"/>
        </w:rPr>
        <w:t>“北向通”渠道开展的债券回购交易，上海清算所负责总托管层级的结算处理，</w:t>
      </w:r>
      <w:r>
        <w:rPr>
          <w:rFonts w:ascii="仿宋" w:eastAsia="仿宋" w:hAnsi="仿宋"/>
          <w:sz w:val="32"/>
          <w:szCs w:val="32"/>
        </w:rPr>
        <w:t xml:space="preserve"> CMU</w:t>
      </w:r>
      <w:r>
        <w:rPr>
          <w:rFonts w:ascii="仿宋" w:eastAsia="仿宋" w:hAnsi="仿宋" w:hint="eastAsia"/>
          <w:sz w:val="32"/>
          <w:szCs w:val="32"/>
        </w:rPr>
        <w:t>负责次级托管层级的结算处理。</w:t>
      </w:r>
    </w:p>
    <w:p w:rsidR="005663D8"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rPr>
        <w:t>上海清算所接收交易平台发送的债券回购交易数据后，</w:t>
      </w:r>
      <w:r>
        <w:rPr>
          <w:rFonts w:ascii="仿宋" w:eastAsia="仿宋" w:hAnsi="仿宋" w:hint="eastAsia"/>
          <w:sz w:val="32"/>
          <w:szCs w:val="32"/>
          <w:lang w:val="en-GB"/>
        </w:rPr>
        <w:t>根据结算双方的有效确认指令生成首期结算指令。结算双方未在首期结算日日终前对交易数据完成确认的，交易作废。</w:t>
      </w:r>
    </w:p>
    <w:p w:rsidR="005663D8" w:rsidRDefault="005F490E">
      <w:pPr>
        <w:numPr>
          <w:ilvl w:val="0"/>
          <w:numId w:val="1"/>
        </w:numPr>
        <w:tabs>
          <w:tab w:val="left" w:pos="1134"/>
        </w:tabs>
        <w:spacing w:line="580" w:lineRule="exact"/>
        <w:ind w:firstLineChars="200" w:firstLine="640"/>
        <w:rPr>
          <w:rFonts w:ascii="仿宋" w:eastAsia="仿宋" w:hAnsi="仿宋"/>
          <w:sz w:val="32"/>
          <w:szCs w:val="32"/>
          <w:lang w:val="en-GB"/>
        </w:rPr>
      </w:pPr>
      <w:r>
        <w:rPr>
          <w:rFonts w:ascii="仿宋" w:eastAsia="仿宋" w:hAnsi="仿宋" w:hint="eastAsia"/>
          <w:sz w:val="32"/>
          <w:szCs w:val="32"/>
        </w:rPr>
        <w:t>首期结算日，上海清算所根据首期结算指令，在正</w:t>
      </w:r>
      <w:r>
        <w:rPr>
          <w:rFonts w:ascii="仿宋" w:eastAsia="仿宋" w:hAnsi="仿宋" w:hint="eastAsia"/>
          <w:sz w:val="32"/>
          <w:szCs w:val="32"/>
        </w:rPr>
        <w:lastRenderedPageBreak/>
        <w:t>回购方债券足额的情况下，锁定相关债券，待逆回购方资金足额划付至正回购方后，将正回购方的债券过户至逆回购方。</w:t>
      </w:r>
    </w:p>
    <w:p w:rsidR="005663D8"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lang w:val="en-GB"/>
        </w:rPr>
        <w:t>首期结算指令执行成功后，上海清算所生成</w:t>
      </w:r>
      <w:proofErr w:type="gramStart"/>
      <w:r>
        <w:rPr>
          <w:rFonts w:ascii="仿宋" w:eastAsia="仿宋" w:hAnsi="仿宋" w:hint="eastAsia"/>
          <w:sz w:val="32"/>
          <w:szCs w:val="32"/>
          <w:lang w:val="en-GB"/>
        </w:rPr>
        <w:t>待履行</w:t>
      </w:r>
      <w:proofErr w:type="gramEnd"/>
      <w:r>
        <w:rPr>
          <w:rFonts w:ascii="仿宋" w:eastAsia="仿宋" w:hAnsi="仿宋" w:hint="eastAsia"/>
          <w:sz w:val="32"/>
          <w:szCs w:val="32"/>
          <w:lang w:val="en-GB"/>
        </w:rPr>
        <w:t>的到期结算指令。首期结算指令未成功执行的，上海清算所不再进行后续到期结算处理。</w:t>
      </w:r>
    </w:p>
    <w:p w:rsidR="005663D8" w:rsidRDefault="005F490E">
      <w:pPr>
        <w:spacing w:line="580" w:lineRule="exact"/>
        <w:ind w:firstLineChars="200" w:firstLine="640"/>
        <w:rPr>
          <w:rFonts w:ascii="仿宋" w:eastAsia="仿宋" w:hAnsi="仿宋"/>
          <w:sz w:val="32"/>
          <w:szCs w:val="32"/>
        </w:rPr>
      </w:pPr>
      <w:r>
        <w:rPr>
          <w:rFonts w:ascii="仿宋" w:eastAsia="仿宋" w:hAnsi="仿宋" w:hint="eastAsia"/>
          <w:sz w:val="32"/>
          <w:szCs w:val="32"/>
          <w:lang w:val="en-GB"/>
        </w:rPr>
        <w:t>结算一方为CMU名义持有人账户或结算一方（或双方）为已开通到期结算确认功能的结算成员的，需在到期结算日</w:t>
      </w:r>
      <w:r>
        <w:rPr>
          <w:rFonts w:ascii="仿宋" w:eastAsia="仿宋" w:hAnsi="仿宋" w:hint="eastAsia"/>
          <w:sz w:val="32"/>
          <w:szCs w:val="32"/>
        </w:rPr>
        <w:t>对相关到期结算指令</w:t>
      </w:r>
      <w:r>
        <w:rPr>
          <w:rFonts w:ascii="仿宋" w:eastAsia="仿宋" w:hAnsi="仿宋" w:hint="eastAsia"/>
          <w:sz w:val="32"/>
          <w:szCs w:val="32"/>
          <w:lang w:val="en-GB"/>
        </w:rPr>
        <w:t>完成到期结算确认；上海清算所在结算一方（或双方）完成到期结算确认后，进行后续到期结算处理。其中，</w:t>
      </w:r>
      <w:r>
        <w:rPr>
          <w:rFonts w:ascii="仿宋" w:eastAsia="仿宋" w:hAnsi="仿宋" w:hint="eastAsia"/>
          <w:sz w:val="32"/>
          <w:szCs w:val="32"/>
        </w:rPr>
        <w:t>CMU将在确认“北向通”渠道境外机构投资者用于到期结算的债券或资金足额后，完成到期结算确认。</w:t>
      </w:r>
    </w:p>
    <w:p w:rsidR="005663D8"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rPr>
        <w:t>到期结算日，上海清算所根据到期结算指令，在逆回购方债券足额的情况下，锁定相关债券，待正回购方资金足额划付至逆回购方后，将逆回购方的债券过户至正回购方。</w:t>
      </w:r>
    </w:p>
    <w:p w:rsidR="005663D8"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rPr>
        <w:t>境外机构投资者开展债券回购交易，应确保有足额的债券和资金用于结算。在全额清算、逐笔结算方式下，因结算一方资金或债券不足，或未完成到期结算确认（如需）导致结算失败的，由责任方承担对其交易对手的违约责任，上海清算所与CMU不承担相关责任。</w:t>
      </w:r>
    </w:p>
    <w:p w:rsidR="005663D8"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rPr>
        <w:t>债券回购交易</w:t>
      </w:r>
      <w:r>
        <w:rPr>
          <w:rFonts w:ascii="仿宋" w:eastAsia="仿宋" w:hAnsi="仿宋"/>
          <w:sz w:val="32"/>
          <w:szCs w:val="32"/>
        </w:rPr>
        <w:t>作废或结算失败的，结算双方</w:t>
      </w:r>
      <w:r>
        <w:rPr>
          <w:rFonts w:ascii="仿宋" w:eastAsia="仿宋" w:hAnsi="仿宋" w:hint="eastAsia"/>
          <w:sz w:val="32"/>
          <w:szCs w:val="32"/>
        </w:rPr>
        <w:t>应于</w:t>
      </w:r>
      <w:r>
        <w:rPr>
          <w:rFonts w:ascii="仿宋" w:eastAsia="仿宋" w:hAnsi="仿宋"/>
          <w:sz w:val="32"/>
          <w:szCs w:val="32"/>
        </w:rPr>
        <w:t>结算日次</w:t>
      </w:r>
      <w:proofErr w:type="gramStart"/>
      <w:r>
        <w:rPr>
          <w:rFonts w:ascii="仿宋" w:eastAsia="仿宋" w:hAnsi="仿宋"/>
          <w:sz w:val="32"/>
          <w:szCs w:val="32"/>
        </w:rPr>
        <w:t>一</w:t>
      </w:r>
      <w:proofErr w:type="gramEnd"/>
      <w:r>
        <w:rPr>
          <w:rFonts w:ascii="仿宋" w:eastAsia="仿宋" w:hAnsi="仿宋"/>
          <w:sz w:val="32"/>
          <w:szCs w:val="32"/>
        </w:rPr>
        <w:t>工作日</w:t>
      </w:r>
      <w:r>
        <w:rPr>
          <w:rFonts w:ascii="仿宋" w:eastAsia="仿宋" w:hAnsi="仿宋" w:hint="eastAsia"/>
          <w:sz w:val="32"/>
          <w:szCs w:val="32"/>
        </w:rPr>
        <w:t>按照</w:t>
      </w:r>
      <w:r>
        <w:rPr>
          <w:rFonts w:ascii="仿宋" w:eastAsia="仿宋" w:hAnsi="仿宋"/>
          <w:sz w:val="32"/>
          <w:szCs w:val="32"/>
        </w:rPr>
        <w:t>相关业务规定</w:t>
      </w:r>
      <w:r>
        <w:rPr>
          <w:rFonts w:ascii="仿宋" w:eastAsia="仿宋" w:hAnsi="仿宋" w:hint="eastAsia"/>
          <w:sz w:val="32"/>
          <w:szCs w:val="32"/>
        </w:rPr>
        <w:t>完成</w:t>
      </w:r>
      <w:r>
        <w:rPr>
          <w:rFonts w:ascii="仿宋" w:eastAsia="仿宋" w:hAnsi="仿宋"/>
          <w:sz w:val="32"/>
          <w:szCs w:val="32"/>
        </w:rPr>
        <w:t>结算失败备案。</w:t>
      </w:r>
    </w:p>
    <w:p w:rsidR="005663D8"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rPr>
        <w:t>到期结算失败后，经结算双方协商一致，结算双</w:t>
      </w:r>
      <w:r>
        <w:rPr>
          <w:rFonts w:ascii="仿宋" w:eastAsia="仿宋" w:hAnsi="仿宋" w:hint="eastAsia"/>
          <w:sz w:val="32"/>
          <w:szCs w:val="32"/>
        </w:rPr>
        <w:lastRenderedPageBreak/>
        <w:t>方可向上海清算所申请办理回购债券的清偿过户。</w:t>
      </w:r>
    </w:p>
    <w:p w:rsidR="005663D8"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rPr>
        <w:t>债券回购交易存续期间回购债券发生付息兑付的，上海清算所在收到发行人付息兑付资金后，根据付息兑付登记日日</w:t>
      </w:r>
      <w:proofErr w:type="gramStart"/>
      <w:r>
        <w:rPr>
          <w:rFonts w:ascii="仿宋" w:eastAsia="仿宋" w:hAnsi="仿宋" w:hint="eastAsia"/>
          <w:sz w:val="32"/>
          <w:szCs w:val="32"/>
        </w:rPr>
        <w:t>终确定</w:t>
      </w:r>
      <w:proofErr w:type="gramEnd"/>
      <w:r>
        <w:rPr>
          <w:rFonts w:ascii="仿宋" w:eastAsia="仿宋" w:hAnsi="仿宋" w:hint="eastAsia"/>
          <w:sz w:val="32"/>
          <w:szCs w:val="32"/>
        </w:rPr>
        <w:t>的债券持有人名册，将债券持有人应收付息兑付资金划付至其指定资金账户。</w:t>
      </w:r>
    </w:p>
    <w:p w:rsidR="005663D8"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rPr>
        <w:t>结算双方可通过上海清算所客户端查询债券回购交易相关结算指令、结算交割单据、债券账户余额及变动情况等。</w:t>
      </w:r>
    </w:p>
    <w:p w:rsidR="005663D8"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rPr>
        <w:t>结算双方因网络、系统或其他原因，无法及时通过上海清算</w:t>
      </w:r>
      <w:proofErr w:type="gramStart"/>
      <w:r>
        <w:rPr>
          <w:rFonts w:ascii="仿宋" w:eastAsia="仿宋" w:hAnsi="仿宋" w:hint="eastAsia"/>
          <w:sz w:val="32"/>
          <w:szCs w:val="32"/>
        </w:rPr>
        <w:t>所客户</w:t>
      </w:r>
      <w:proofErr w:type="gramEnd"/>
      <w:r>
        <w:rPr>
          <w:rFonts w:ascii="仿宋" w:eastAsia="仿宋" w:hAnsi="仿宋" w:hint="eastAsia"/>
          <w:sz w:val="32"/>
          <w:szCs w:val="32"/>
        </w:rPr>
        <w:t>终端或直联接口进行相关操作的，可根据上海清算所应急操作相关规定办理业务。</w:t>
      </w:r>
    </w:p>
    <w:p w:rsidR="005663D8"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rPr>
        <w:t>上海清算所根据中国人民银行有关规定对债券回购业务进行日常监测，发现重大问题和异常情况及时处理并向中国人民银行报告。</w:t>
      </w:r>
    </w:p>
    <w:p w:rsidR="005663D8" w:rsidRDefault="005F490E">
      <w:pPr>
        <w:numPr>
          <w:ilvl w:val="0"/>
          <w:numId w:val="1"/>
        </w:numPr>
        <w:spacing w:line="580" w:lineRule="exact"/>
        <w:ind w:firstLineChars="200" w:firstLine="640"/>
        <w:rPr>
          <w:rFonts w:ascii="仿宋" w:eastAsia="仿宋" w:hAnsi="仿宋"/>
          <w:sz w:val="32"/>
          <w:szCs w:val="32"/>
        </w:rPr>
      </w:pPr>
      <w:r>
        <w:rPr>
          <w:rFonts w:ascii="仿宋" w:eastAsia="仿宋" w:hAnsi="仿宋" w:hint="eastAsia"/>
          <w:sz w:val="32"/>
          <w:szCs w:val="32"/>
        </w:rPr>
        <w:t>本规则未尽事宜参照上海清算</w:t>
      </w:r>
      <w:proofErr w:type="gramStart"/>
      <w:r>
        <w:rPr>
          <w:rFonts w:ascii="仿宋" w:eastAsia="仿宋" w:hAnsi="仿宋" w:hint="eastAsia"/>
          <w:sz w:val="32"/>
          <w:szCs w:val="32"/>
        </w:rPr>
        <w:t>所其他</w:t>
      </w:r>
      <w:proofErr w:type="gramEnd"/>
      <w:r>
        <w:rPr>
          <w:rFonts w:ascii="仿宋" w:eastAsia="仿宋" w:hAnsi="仿宋" w:hint="eastAsia"/>
          <w:sz w:val="32"/>
          <w:szCs w:val="32"/>
        </w:rPr>
        <w:t>规定执行。</w:t>
      </w:r>
    </w:p>
    <w:p w:rsidR="0013432E" w:rsidRPr="0013432E" w:rsidRDefault="0013432E" w:rsidP="0013432E">
      <w:pPr>
        <w:numPr>
          <w:ilvl w:val="0"/>
          <w:numId w:val="1"/>
        </w:numPr>
        <w:spacing w:line="580" w:lineRule="exact"/>
        <w:ind w:firstLineChars="200" w:firstLine="640"/>
        <w:rPr>
          <w:rFonts w:ascii="仿宋" w:eastAsia="仿宋" w:hAnsi="仿宋"/>
          <w:sz w:val="32"/>
          <w:szCs w:val="32"/>
        </w:rPr>
      </w:pPr>
      <w:r w:rsidRPr="008A3346">
        <w:rPr>
          <w:rFonts w:ascii="仿宋" w:eastAsia="仿宋" w:hAnsi="仿宋" w:hint="eastAsia"/>
          <w:sz w:val="32"/>
          <w:szCs w:val="32"/>
        </w:rPr>
        <w:t>本规则由上海清算所负责解释，并自公布之日起实行。</w:t>
      </w:r>
    </w:p>
    <w:p w:rsidR="005663D8" w:rsidRPr="00586A1A" w:rsidRDefault="005663D8" w:rsidP="00586A1A">
      <w:bookmarkStart w:id="2" w:name="_Toc24114950"/>
      <w:bookmarkEnd w:id="0"/>
      <w:bookmarkEnd w:id="2"/>
    </w:p>
    <w:sectPr w:rsidR="005663D8" w:rsidRPr="00586A1A">
      <w:footerReference w:type="even" r:id="rId8"/>
      <w:footerReference w:type="default" r:id="rId9"/>
      <w:pgSz w:w="11906" w:h="16838"/>
      <w:pgMar w:top="2041" w:right="1474" w:bottom="1928" w:left="1587" w:header="851" w:footer="153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8EB" w:rsidRDefault="005F490E">
      <w:r>
        <w:separator/>
      </w:r>
    </w:p>
  </w:endnote>
  <w:endnote w:type="continuationSeparator" w:id="0">
    <w:p w:rsidR="00D208EB" w:rsidRDefault="005F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D8" w:rsidRDefault="005F490E">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12065" b="10795"/>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5663D8" w:rsidRDefault="005F490E">
                          <w:pPr>
                            <w:pStyle w:val="a5"/>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21E1A">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KVFQIAAAcEAAAOAAAAZHJzL2Uyb0RvYy54bWysU82O0zAQviPxDpbvNGkRVVU1XZVdFSFV&#10;7EoFcXYdp4nkP9luk/IA8AacuHDnufocfHaaLmL3hLjYY894Zr5vPi9uOiXJUTjfGF3Q8SinRGhu&#10;ykbvC/rp4/rVjBIfmC6ZNFoU9CQ8vVm+fLFo7VxMTG1kKRxBEu3nrS1oHYKdZ5nntVDMj4wVGs7K&#10;OMUCjm6flY61yK5kNsnzadYaV1pnuPAet3e9ky5T/qoSPNxXlReByIKit5BWl9ZdXLPlgs33jtm6&#10;4Zc22D90oVijUfSa6o4FRg6ueZJKNdwZb6ow4kZlpqoaLhIGoBnnf6HZ1syKhAXkeHulyf+/tPzD&#10;8cGRpizolBLNFEZ0/v7t/OPX+edXMo30tNbPEbW1iAvdW9NhzMO9x2VE3VVOxR14CPwg+nQlV3SB&#10;8PhoNpnNcrg4fMMB+bPH59b58E4YRaJRUIfpJVLZceNDHzqExGrarBsp0wSlJi0gvH6TpwdXD5JL&#10;jRoRRN9stEK36y7IdqY8AZgzvTK85esGxTfMhwfmIAU0DHmHeyyVNChiLhYltXFfnruP8ZgQvJS0&#10;kFZBNbRPiXyvMbmowsFwg7EbDH1QtwZaHePbWJ5MPHBBDmbljPoMza9iDbiY5qhU0DCYt6GXN/4M&#10;F6tVCoLWLAsbvbU8po7kebs6BBCYeI2k9ExcuILa0mQuPyPK+c9zinr8v8vfAAAA//8DAFBLAwQU&#10;AAYACAAAACEAcarRudcAAAAFAQAADwAAAGRycy9kb3ducmV2LnhtbEyPQU/DMAyF75P2HyIjcdtS&#10;BkJVaTqxiXJEYuXAMWtMW0icKsm68u8xCAkulp+e9fy9cjs7KyYMcfCk4GqdgUBqvRmoU/DS1Ksc&#10;REyajLaeUMEnRthWy0WpC+PP9IzTIXWCQygWWkGf0lhIGdsenY5rPyKx9+aD04ll6KQJ+szhzspN&#10;lt1KpwfiD70ecd9j+3E4OQX7umnChDHYV3ysr9+fdjf4MCt1eTHf34FIOKe/Y/jGZ3SomOnoT2Si&#10;sAq4SPqZ7G3ynOXxd5FVKf/TV18AAAD//wMAUEsBAi0AFAAGAAgAAAAhALaDOJL+AAAA4QEAABMA&#10;AAAAAAAAAAAAAAAAAAAAAFtDb250ZW50X1R5cGVzXS54bWxQSwECLQAUAAYACAAAACEAOP0h/9YA&#10;AACUAQAACwAAAAAAAAAAAAAAAAAvAQAAX3JlbHMvLnJlbHNQSwECLQAUAAYACAAAACEAUEyylRUC&#10;AAAHBAAADgAAAAAAAAAAAAAAAAAuAgAAZHJzL2Uyb0RvYy54bWxQSwECLQAUAAYACAAAACEAcarR&#10;udcAAAAFAQAADwAAAAAAAAAAAAAAAABvBAAAZHJzL2Rvd25yZXYueG1sUEsFBgAAAAAEAAQA8wAA&#10;AHMFAAAAAA==&#10;" filled="f" stroked="f" strokeweight=".5pt">
              <v:textbox style="mso-fit-shape-to-text:t" inset="0,0,0,0">
                <w:txbxContent>
                  <w:p w:rsidR="005663D8" w:rsidRDefault="005F490E">
                    <w:pPr>
                      <w:pStyle w:val="a5"/>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21E1A">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D8" w:rsidRDefault="005F490E">
    <w:pPr>
      <w:pStyle w:val="a5"/>
    </w:pPr>
    <w:r>
      <w:rPr>
        <w:noProof/>
      </w:rPr>
      <mc:AlternateContent>
        <mc:Choice Requires="wps">
          <w:drawing>
            <wp:anchor distT="0" distB="0" distL="114300" distR="114300" simplePos="0" relativeHeight="251659264" behindDoc="0" locked="0" layoutInCell="1" allowOverlap="1">
              <wp:simplePos x="0" y="0"/>
              <wp:positionH relativeFrom="margin">
                <wp:posOffset>4819015</wp:posOffset>
              </wp:positionH>
              <wp:positionV relativeFrom="paragraph">
                <wp:posOffset>0</wp:posOffset>
              </wp:positionV>
              <wp:extent cx="1828800" cy="1828800"/>
              <wp:effectExtent l="0" t="0" r="0" b="10795"/>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5663D8" w:rsidRDefault="005F490E">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21E1A">
                            <w:rPr>
                              <w:rFonts w:ascii="宋体" w:hAnsi="宋体" w:cs="宋体"/>
                              <w:noProof/>
                              <w:sz w:val="28"/>
                              <w:szCs w:val="28"/>
                            </w:rPr>
                            <w:t>3</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379.45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QxGAIAAA4EAAAOAAAAZHJzL2Uyb0RvYy54bWysU82O0zAQviPxDpbvNGlRV1XVdFV2VYRU&#10;sSsVxNl1nCaS/2S7TcoDwBtw4sKd5+pz7Gen6SLghLg4E894Zr5vvlncdkqSo3C+Mbqg41FOidDc&#10;lI3eF/Tjh/WrGSU+MF0yabQo6El4ert8+WLR2rmYmNrIUjiCJNrPW1vQOgQ7zzLPa6GYHxkrNJyV&#10;cYoF/Lp9VjrWIruS2STPb7LWuNI6w4X3uL3vnXSZ8leV4OGhqrwIRBYUvYV0unTu4pktF2y+d8zW&#10;Db+0wf6hC8UajaLXVPcsMHJwzR+pVMOd8aYKI25UZqqq4SJhAJpx/huabc2sSFhAjrdXmvz/S8vf&#10;Hx8dacqCTinRTGFE529fz99/nn98IdNIT2v9HFFbi7jQvTEdxjzce1xG1F3lVPwCD4EfRJ+u5Iou&#10;EB4fzSazWQ4Xh2/4Qf7s+bl1PrwVRpFoFNRheolUdtz40IcOIbGaNutGyjRBqUlb0JvX0zw9uHqQ&#10;XGrUiCD6ZqMVul2XMF+B7Ex5Aj5neoF4y9cNetgwHx6ZgyLQN1QeHnBU0qCWuViU1MZ9/tt9jMeg&#10;4KWkhcIKqrEClMh3GgOMYhwMNxi7wdAHdWcg2TG2x/Jk4oELcjArZ9QnSH8Va8DFNEelgobBvAu9&#10;yrE6XKxWKQiSsyxs9NbymDpy6O3qEMBjojdy0zNxoQyiSwO6LEhU9a//Kep5jZdPAAAA//8DAFBL&#10;AwQUAAYACAAAACEA41zU+dwAAAAJAQAADwAAAGRycy9kb3ducmV2LnhtbEyPwU7DMBBE70j8g7VI&#10;3KhNKSWEbCqoCEckGg4c3WRJAvY6st00/D3uCY6jGc28KTazNWIiHwbHCNcLBYK4ce3AHcJ7XV1l&#10;IELU3GrjmBB+KMCmPD8rdN66I7/RtIudSCUcco3QxzjmUoamJ6vDwo3Eyft03uqYpO9k6/UxlVsj&#10;l0qtpdUDp4Vej7TtqfneHSzCtqprP1Hw5oNeqpuv16cVPc+Ilxfz4wOISHP8C8MJP6FDmZj27sBt&#10;EAbh7ja7T1GE9Ohkq9U66T3CMssUyLKQ/x+UvwAAAP//AwBQSwECLQAUAAYACAAAACEAtoM4kv4A&#10;AADhAQAAEwAAAAAAAAAAAAAAAAAAAAAAW0NvbnRlbnRfVHlwZXNdLnhtbFBLAQItABQABgAIAAAA&#10;IQA4/SH/1gAAAJQBAAALAAAAAAAAAAAAAAAAAC8BAABfcmVscy8ucmVsc1BLAQItABQABgAIAAAA&#10;IQChYBQxGAIAAA4EAAAOAAAAAAAAAAAAAAAAAC4CAABkcnMvZTJvRG9jLnhtbFBLAQItABQABgAI&#10;AAAAIQDjXNT53AAAAAkBAAAPAAAAAAAAAAAAAAAAAHIEAABkcnMvZG93bnJldi54bWxQSwUGAAAA&#10;AAQABADzAAAAewUAAAAA&#10;" filled="f" stroked="f" strokeweight=".5pt">
              <v:textbox style="mso-fit-shape-to-text:t" inset="0,0,0,0">
                <w:txbxContent>
                  <w:p w:rsidR="005663D8" w:rsidRDefault="005F490E">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21E1A">
                      <w:rPr>
                        <w:rFonts w:ascii="宋体" w:hAnsi="宋体" w:cs="宋体"/>
                        <w:noProof/>
                        <w:sz w:val="28"/>
                        <w:szCs w:val="28"/>
                      </w:rPr>
                      <w:t>3</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8EB" w:rsidRDefault="005F490E">
      <w:r>
        <w:separator/>
      </w:r>
    </w:p>
  </w:footnote>
  <w:footnote w:type="continuationSeparator" w:id="0">
    <w:p w:rsidR="00D208EB" w:rsidRDefault="005F4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D0B68"/>
    <w:multiLevelType w:val="singleLevel"/>
    <w:tmpl w:val="43FD0B68"/>
    <w:lvl w:ilvl="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N2FiZTEyMWQ3YWU3MTQ5YWNkYmE2MTE1NTc0ZDQifQ=="/>
  </w:docVars>
  <w:rsids>
    <w:rsidRoot w:val="00827501"/>
    <w:rsid w:val="8BFF6D9C"/>
    <w:rsid w:val="8F4E2A55"/>
    <w:rsid w:val="D59FFBEC"/>
    <w:rsid w:val="00006123"/>
    <w:rsid w:val="00006452"/>
    <w:rsid w:val="000064BB"/>
    <w:rsid w:val="00011873"/>
    <w:rsid w:val="0001744E"/>
    <w:rsid w:val="0002194E"/>
    <w:rsid w:val="00033E2F"/>
    <w:rsid w:val="00034B43"/>
    <w:rsid w:val="0004554D"/>
    <w:rsid w:val="00052D1B"/>
    <w:rsid w:val="00055790"/>
    <w:rsid w:val="00062D27"/>
    <w:rsid w:val="0007213E"/>
    <w:rsid w:val="00076128"/>
    <w:rsid w:val="00082308"/>
    <w:rsid w:val="00085E44"/>
    <w:rsid w:val="00096C30"/>
    <w:rsid w:val="00097B96"/>
    <w:rsid w:val="000A0E0D"/>
    <w:rsid w:val="000B4EB8"/>
    <w:rsid w:val="000B6E9E"/>
    <w:rsid w:val="000C14A8"/>
    <w:rsid w:val="000C42FE"/>
    <w:rsid w:val="000D2406"/>
    <w:rsid w:val="000D34A2"/>
    <w:rsid w:val="000D34DB"/>
    <w:rsid w:val="000E6F22"/>
    <w:rsid w:val="001018ED"/>
    <w:rsid w:val="00103D3D"/>
    <w:rsid w:val="00115AD5"/>
    <w:rsid w:val="00117A69"/>
    <w:rsid w:val="0012016C"/>
    <w:rsid w:val="00121873"/>
    <w:rsid w:val="0013432E"/>
    <w:rsid w:val="00137864"/>
    <w:rsid w:val="0015578D"/>
    <w:rsid w:val="0016186D"/>
    <w:rsid w:val="00165427"/>
    <w:rsid w:val="001670D4"/>
    <w:rsid w:val="00173405"/>
    <w:rsid w:val="00174D59"/>
    <w:rsid w:val="00176898"/>
    <w:rsid w:val="00181324"/>
    <w:rsid w:val="001834AD"/>
    <w:rsid w:val="0018377C"/>
    <w:rsid w:val="00185468"/>
    <w:rsid w:val="00195B19"/>
    <w:rsid w:val="00197FC0"/>
    <w:rsid w:val="001A1C9B"/>
    <w:rsid w:val="001A4B21"/>
    <w:rsid w:val="001A7B50"/>
    <w:rsid w:val="001B1250"/>
    <w:rsid w:val="001B53BE"/>
    <w:rsid w:val="001C7168"/>
    <w:rsid w:val="001D29FC"/>
    <w:rsid w:val="001D6A15"/>
    <w:rsid w:val="001E42DA"/>
    <w:rsid w:val="001F2FB2"/>
    <w:rsid w:val="001F3565"/>
    <w:rsid w:val="00207C3F"/>
    <w:rsid w:val="00212612"/>
    <w:rsid w:val="0022050F"/>
    <w:rsid w:val="00232A0D"/>
    <w:rsid w:val="00234541"/>
    <w:rsid w:val="00244701"/>
    <w:rsid w:val="002517E3"/>
    <w:rsid w:val="00263B1C"/>
    <w:rsid w:val="00270C75"/>
    <w:rsid w:val="00270D36"/>
    <w:rsid w:val="002778EC"/>
    <w:rsid w:val="00284555"/>
    <w:rsid w:val="0028708E"/>
    <w:rsid w:val="00287F85"/>
    <w:rsid w:val="002904A8"/>
    <w:rsid w:val="00292D21"/>
    <w:rsid w:val="0029631A"/>
    <w:rsid w:val="00297345"/>
    <w:rsid w:val="002A0C82"/>
    <w:rsid w:val="002A2655"/>
    <w:rsid w:val="002A2F10"/>
    <w:rsid w:val="002A3885"/>
    <w:rsid w:val="002A696A"/>
    <w:rsid w:val="002A7375"/>
    <w:rsid w:val="002A7681"/>
    <w:rsid w:val="002B5A16"/>
    <w:rsid w:val="002C3C3D"/>
    <w:rsid w:val="002D3DE7"/>
    <w:rsid w:val="002D51EF"/>
    <w:rsid w:val="002E30E5"/>
    <w:rsid w:val="002E5A3C"/>
    <w:rsid w:val="002F32AC"/>
    <w:rsid w:val="002F5571"/>
    <w:rsid w:val="002F7D92"/>
    <w:rsid w:val="00300290"/>
    <w:rsid w:val="00303D10"/>
    <w:rsid w:val="00306AF4"/>
    <w:rsid w:val="00313DDC"/>
    <w:rsid w:val="00321622"/>
    <w:rsid w:val="00324D4D"/>
    <w:rsid w:val="003407E2"/>
    <w:rsid w:val="003425B9"/>
    <w:rsid w:val="00356466"/>
    <w:rsid w:val="00360B53"/>
    <w:rsid w:val="00367D78"/>
    <w:rsid w:val="00371130"/>
    <w:rsid w:val="00371E47"/>
    <w:rsid w:val="0037536E"/>
    <w:rsid w:val="00380043"/>
    <w:rsid w:val="00380933"/>
    <w:rsid w:val="0038469C"/>
    <w:rsid w:val="003A5FFB"/>
    <w:rsid w:val="003B1768"/>
    <w:rsid w:val="003B1DF2"/>
    <w:rsid w:val="003B231A"/>
    <w:rsid w:val="003B3C51"/>
    <w:rsid w:val="003B4729"/>
    <w:rsid w:val="003B4DD4"/>
    <w:rsid w:val="003B58DE"/>
    <w:rsid w:val="003C3ADE"/>
    <w:rsid w:val="003C659A"/>
    <w:rsid w:val="003C785A"/>
    <w:rsid w:val="003E6C0D"/>
    <w:rsid w:val="003F5ED2"/>
    <w:rsid w:val="003F709E"/>
    <w:rsid w:val="003F793B"/>
    <w:rsid w:val="00400842"/>
    <w:rsid w:val="00403837"/>
    <w:rsid w:val="0040726C"/>
    <w:rsid w:val="00414997"/>
    <w:rsid w:val="00414BF1"/>
    <w:rsid w:val="004305FD"/>
    <w:rsid w:val="00442A68"/>
    <w:rsid w:val="004436E7"/>
    <w:rsid w:val="00451FB4"/>
    <w:rsid w:val="004535F0"/>
    <w:rsid w:val="00455AE2"/>
    <w:rsid w:val="00472D30"/>
    <w:rsid w:val="00482362"/>
    <w:rsid w:val="00486BED"/>
    <w:rsid w:val="00495C1B"/>
    <w:rsid w:val="004A1CEE"/>
    <w:rsid w:val="004A43DD"/>
    <w:rsid w:val="004B6F48"/>
    <w:rsid w:val="004C12E7"/>
    <w:rsid w:val="004C19C0"/>
    <w:rsid w:val="004C1DA1"/>
    <w:rsid w:val="004C3CA4"/>
    <w:rsid w:val="004F184B"/>
    <w:rsid w:val="005005AB"/>
    <w:rsid w:val="00506405"/>
    <w:rsid w:val="00506D69"/>
    <w:rsid w:val="00507E0F"/>
    <w:rsid w:val="00510D7D"/>
    <w:rsid w:val="00517A25"/>
    <w:rsid w:val="00524621"/>
    <w:rsid w:val="00527F05"/>
    <w:rsid w:val="005303D5"/>
    <w:rsid w:val="005335B8"/>
    <w:rsid w:val="00536CE3"/>
    <w:rsid w:val="00545720"/>
    <w:rsid w:val="00562AF6"/>
    <w:rsid w:val="005663D8"/>
    <w:rsid w:val="005678F5"/>
    <w:rsid w:val="00570166"/>
    <w:rsid w:val="00575798"/>
    <w:rsid w:val="00586A1A"/>
    <w:rsid w:val="00597586"/>
    <w:rsid w:val="005B243B"/>
    <w:rsid w:val="005B4FBB"/>
    <w:rsid w:val="005B76A9"/>
    <w:rsid w:val="005C69BD"/>
    <w:rsid w:val="005D27C8"/>
    <w:rsid w:val="005D41F6"/>
    <w:rsid w:val="005E046D"/>
    <w:rsid w:val="005E2689"/>
    <w:rsid w:val="005E2828"/>
    <w:rsid w:val="005F490E"/>
    <w:rsid w:val="0060211A"/>
    <w:rsid w:val="00603AEF"/>
    <w:rsid w:val="00610284"/>
    <w:rsid w:val="00612EE2"/>
    <w:rsid w:val="00615457"/>
    <w:rsid w:val="00615705"/>
    <w:rsid w:val="006160B3"/>
    <w:rsid w:val="006212E9"/>
    <w:rsid w:val="00627E31"/>
    <w:rsid w:val="006429CD"/>
    <w:rsid w:val="00661609"/>
    <w:rsid w:val="0067568A"/>
    <w:rsid w:val="006838DF"/>
    <w:rsid w:val="00683C72"/>
    <w:rsid w:val="0068522C"/>
    <w:rsid w:val="0068720F"/>
    <w:rsid w:val="00690831"/>
    <w:rsid w:val="00693D10"/>
    <w:rsid w:val="006B456C"/>
    <w:rsid w:val="006D3744"/>
    <w:rsid w:val="006D6A93"/>
    <w:rsid w:val="006E280C"/>
    <w:rsid w:val="006E45A0"/>
    <w:rsid w:val="006E4639"/>
    <w:rsid w:val="006E67CD"/>
    <w:rsid w:val="006F0189"/>
    <w:rsid w:val="006F37FA"/>
    <w:rsid w:val="006F57E9"/>
    <w:rsid w:val="006F6C26"/>
    <w:rsid w:val="0070019C"/>
    <w:rsid w:val="007005FA"/>
    <w:rsid w:val="00702F2B"/>
    <w:rsid w:val="0072045B"/>
    <w:rsid w:val="00721779"/>
    <w:rsid w:val="007272A8"/>
    <w:rsid w:val="00730271"/>
    <w:rsid w:val="007307C4"/>
    <w:rsid w:val="007322AD"/>
    <w:rsid w:val="00732E70"/>
    <w:rsid w:val="00736D9D"/>
    <w:rsid w:val="00740B88"/>
    <w:rsid w:val="00742C3D"/>
    <w:rsid w:val="00743036"/>
    <w:rsid w:val="0074344B"/>
    <w:rsid w:val="007463F0"/>
    <w:rsid w:val="00746DA1"/>
    <w:rsid w:val="00750B73"/>
    <w:rsid w:val="00762973"/>
    <w:rsid w:val="007666B2"/>
    <w:rsid w:val="00766AFB"/>
    <w:rsid w:val="0077460E"/>
    <w:rsid w:val="00775EC2"/>
    <w:rsid w:val="0078618F"/>
    <w:rsid w:val="00787391"/>
    <w:rsid w:val="00787628"/>
    <w:rsid w:val="007928CB"/>
    <w:rsid w:val="007B15B3"/>
    <w:rsid w:val="007B7F51"/>
    <w:rsid w:val="007C5628"/>
    <w:rsid w:val="007D0303"/>
    <w:rsid w:val="007D7D53"/>
    <w:rsid w:val="007E0614"/>
    <w:rsid w:val="007E621C"/>
    <w:rsid w:val="007F26C9"/>
    <w:rsid w:val="007F4594"/>
    <w:rsid w:val="00811520"/>
    <w:rsid w:val="00813CAD"/>
    <w:rsid w:val="00816D31"/>
    <w:rsid w:val="0082330C"/>
    <w:rsid w:val="00827501"/>
    <w:rsid w:val="00827A41"/>
    <w:rsid w:val="0083404C"/>
    <w:rsid w:val="008346A3"/>
    <w:rsid w:val="00836608"/>
    <w:rsid w:val="00841B22"/>
    <w:rsid w:val="00846079"/>
    <w:rsid w:val="0085737A"/>
    <w:rsid w:val="008655C3"/>
    <w:rsid w:val="008660EC"/>
    <w:rsid w:val="00870895"/>
    <w:rsid w:val="0087570A"/>
    <w:rsid w:val="00880170"/>
    <w:rsid w:val="00891AE3"/>
    <w:rsid w:val="008B0678"/>
    <w:rsid w:val="008C3640"/>
    <w:rsid w:val="008C4906"/>
    <w:rsid w:val="008C6D00"/>
    <w:rsid w:val="008D69AE"/>
    <w:rsid w:val="008F2871"/>
    <w:rsid w:val="00904889"/>
    <w:rsid w:val="00904F9D"/>
    <w:rsid w:val="009071BB"/>
    <w:rsid w:val="00912324"/>
    <w:rsid w:val="00920AA1"/>
    <w:rsid w:val="00921128"/>
    <w:rsid w:val="009217EC"/>
    <w:rsid w:val="00927E79"/>
    <w:rsid w:val="009342BB"/>
    <w:rsid w:val="00941E7B"/>
    <w:rsid w:val="0094417B"/>
    <w:rsid w:val="00946757"/>
    <w:rsid w:val="00954C0D"/>
    <w:rsid w:val="00955CA8"/>
    <w:rsid w:val="00956CEB"/>
    <w:rsid w:val="009570D8"/>
    <w:rsid w:val="009670E5"/>
    <w:rsid w:val="009673EB"/>
    <w:rsid w:val="009804B4"/>
    <w:rsid w:val="00985DDB"/>
    <w:rsid w:val="00992E83"/>
    <w:rsid w:val="009A212E"/>
    <w:rsid w:val="009A24C2"/>
    <w:rsid w:val="009A671F"/>
    <w:rsid w:val="009B739F"/>
    <w:rsid w:val="009C0145"/>
    <w:rsid w:val="009C2A2D"/>
    <w:rsid w:val="009C343C"/>
    <w:rsid w:val="009C6867"/>
    <w:rsid w:val="009C735D"/>
    <w:rsid w:val="009D30B7"/>
    <w:rsid w:val="009E17D6"/>
    <w:rsid w:val="009E5848"/>
    <w:rsid w:val="00A0392B"/>
    <w:rsid w:val="00A13B46"/>
    <w:rsid w:val="00A13E45"/>
    <w:rsid w:val="00A1758F"/>
    <w:rsid w:val="00A21068"/>
    <w:rsid w:val="00A3138C"/>
    <w:rsid w:val="00A339BA"/>
    <w:rsid w:val="00A34894"/>
    <w:rsid w:val="00A35C49"/>
    <w:rsid w:val="00A35DFF"/>
    <w:rsid w:val="00A362D3"/>
    <w:rsid w:val="00A45B1F"/>
    <w:rsid w:val="00A47F62"/>
    <w:rsid w:val="00A5286E"/>
    <w:rsid w:val="00A5372D"/>
    <w:rsid w:val="00A56B8A"/>
    <w:rsid w:val="00A66CD7"/>
    <w:rsid w:val="00A678E6"/>
    <w:rsid w:val="00A700B7"/>
    <w:rsid w:val="00A719E4"/>
    <w:rsid w:val="00A741E0"/>
    <w:rsid w:val="00A74ABC"/>
    <w:rsid w:val="00A77E87"/>
    <w:rsid w:val="00A821E0"/>
    <w:rsid w:val="00A823E6"/>
    <w:rsid w:val="00A90EAE"/>
    <w:rsid w:val="00AA75CA"/>
    <w:rsid w:val="00AB0FF1"/>
    <w:rsid w:val="00AB291E"/>
    <w:rsid w:val="00AB5942"/>
    <w:rsid w:val="00AB5D9C"/>
    <w:rsid w:val="00AB6668"/>
    <w:rsid w:val="00AC166E"/>
    <w:rsid w:val="00AC28DF"/>
    <w:rsid w:val="00AC69E0"/>
    <w:rsid w:val="00AE130D"/>
    <w:rsid w:val="00AE282D"/>
    <w:rsid w:val="00AE44F3"/>
    <w:rsid w:val="00AE49BD"/>
    <w:rsid w:val="00B00BA1"/>
    <w:rsid w:val="00B00D69"/>
    <w:rsid w:val="00B01E1D"/>
    <w:rsid w:val="00B05ECE"/>
    <w:rsid w:val="00B11773"/>
    <w:rsid w:val="00B15C7C"/>
    <w:rsid w:val="00B17281"/>
    <w:rsid w:val="00B20A7A"/>
    <w:rsid w:val="00B21E4E"/>
    <w:rsid w:val="00B31668"/>
    <w:rsid w:val="00B40967"/>
    <w:rsid w:val="00B50323"/>
    <w:rsid w:val="00B5113E"/>
    <w:rsid w:val="00B516A0"/>
    <w:rsid w:val="00B53EE7"/>
    <w:rsid w:val="00B557F6"/>
    <w:rsid w:val="00B56650"/>
    <w:rsid w:val="00B6367A"/>
    <w:rsid w:val="00B6400C"/>
    <w:rsid w:val="00B74ABF"/>
    <w:rsid w:val="00B80A3C"/>
    <w:rsid w:val="00B84D46"/>
    <w:rsid w:val="00BB72FD"/>
    <w:rsid w:val="00BC34F5"/>
    <w:rsid w:val="00BC5491"/>
    <w:rsid w:val="00BC5BA6"/>
    <w:rsid w:val="00BD208B"/>
    <w:rsid w:val="00BD7120"/>
    <w:rsid w:val="00BE0DD7"/>
    <w:rsid w:val="00BE37C6"/>
    <w:rsid w:val="00BE5511"/>
    <w:rsid w:val="00BE5D43"/>
    <w:rsid w:val="00BF395C"/>
    <w:rsid w:val="00BF7EFF"/>
    <w:rsid w:val="00C004ED"/>
    <w:rsid w:val="00C00E87"/>
    <w:rsid w:val="00C03B0A"/>
    <w:rsid w:val="00C1279C"/>
    <w:rsid w:val="00C12B37"/>
    <w:rsid w:val="00C1494E"/>
    <w:rsid w:val="00C15C9D"/>
    <w:rsid w:val="00C210BE"/>
    <w:rsid w:val="00C246B2"/>
    <w:rsid w:val="00C337ED"/>
    <w:rsid w:val="00C3798A"/>
    <w:rsid w:val="00C41823"/>
    <w:rsid w:val="00C42ABD"/>
    <w:rsid w:val="00C51C34"/>
    <w:rsid w:val="00C52EEA"/>
    <w:rsid w:val="00C53379"/>
    <w:rsid w:val="00C645DB"/>
    <w:rsid w:val="00C667B6"/>
    <w:rsid w:val="00C74426"/>
    <w:rsid w:val="00C76527"/>
    <w:rsid w:val="00C85362"/>
    <w:rsid w:val="00C92717"/>
    <w:rsid w:val="00C94A7E"/>
    <w:rsid w:val="00CB1896"/>
    <w:rsid w:val="00CB5A2E"/>
    <w:rsid w:val="00CC0D4B"/>
    <w:rsid w:val="00CC61D8"/>
    <w:rsid w:val="00CD3AA7"/>
    <w:rsid w:val="00CD6172"/>
    <w:rsid w:val="00CE1267"/>
    <w:rsid w:val="00CE4398"/>
    <w:rsid w:val="00CE49E7"/>
    <w:rsid w:val="00CF52A7"/>
    <w:rsid w:val="00CF57BB"/>
    <w:rsid w:val="00D01FDA"/>
    <w:rsid w:val="00D12849"/>
    <w:rsid w:val="00D208EB"/>
    <w:rsid w:val="00D303F9"/>
    <w:rsid w:val="00D3168D"/>
    <w:rsid w:val="00D36011"/>
    <w:rsid w:val="00D4578F"/>
    <w:rsid w:val="00D50277"/>
    <w:rsid w:val="00D517C8"/>
    <w:rsid w:val="00D518F9"/>
    <w:rsid w:val="00D51D91"/>
    <w:rsid w:val="00D53229"/>
    <w:rsid w:val="00D65A1C"/>
    <w:rsid w:val="00D67AC4"/>
    <w:rsid w:val="00D70C19"/>
    <w:rsid w:val="00D7537E"/>
    <w:rsid w:val="00D77CCE"/>
    <w:rsid w:val="00D879D3"/>
    <w:rsid w:val="00D9568C"/>
    <w:rsid w:val="00DA496E"/>
    <w:rsid w:val="00DA6AC2"/>
    <w:rsid w:val="00DB15A7"/>
    <w:rsid w:val="00DB2916"/>
    <w:rsid w:val="00DB3DB2"/>
    <w:rsid w:val="00DB410F"/>
    <w:rsid w:val="00DB6B78"/>
    <w:rsid w:val="00DC0270"/>
    <w:rsid w:val="00DC258B"/>
    <w:rsid w:val="00DD2D81"/>
    <w:rsid w:val="00DD330C"/>
    <w:rsid w:val="00DD47C9"/>
    <w:rsid w:val="00DD75D1"/>
    <w:rsid w:val="00DE3940"/>
    <w:rsid w:val="00DE48A0"/>
    <w:rsid w:val="00DE4A32"/>
    <w:rsid w:val="00DF322F"/>
    <w:rsid w:val="00DF7B80"/>
    <w:rsid w:val="00E01DA1"/>
    <w:rsid w:val="00E03468"/>
    <w:rsid w:val="00E20F16"/>
    <w:rsid w:val="00E21E1A"/>
    <w:rsid w:val="00E22247"/>
    <w:rsid w:val="00E261FD"/>
    <w:rsid w:val="00E279D6"/>
    <w:rsid w:val="00E43DC5"/>
    <w:rsid w:val="00E54A92"/>
    <w:rsid w:val="00E55134"/>
    <w:rsid w:val="00E55845"/>
    <w:rsid w:val="00E60EDA"/>
    <w:rsid w:val="00E642DB"/>
    <w:rsid w:val="00E65104"/>
    <w:rsid w:val="00E66437"/>
    <w:rsid w:val="00E71E2A"/>
    <w:rsid w:val="00E8114B"/>
    <w:rsid w:val="00E8434A"/>
    <w:rsid w:val="00E84672"/>
    <w:rsid w:val="00E90BFE"/>
    <w:rsid w:val="00E92B90"/>
    <w:rsid w:val="00E938AD"/>
    <w:rsid w:val="00EA04AB"/>
    <w:rsid w:val="00EA2363"/>
    <w:rsid w:val="00EA4B89"/>
    <w:rsid w:val="00EB048C"/>
    <w:rsid w:val="00EB25C9"/>
    <w:rsid w:val="00EB768B"/>
    <w:rsid w:val="00EC049A"/>
    <w:rsid w:val="00EC3DF5"/>
    <w:rsid w:val="00EC4468"/>
    <w:rsid w:val="00ED4FF8"/>
    <w:rsid w:val="00EF3AFD"/>
    <w:rsid w:val="00F031BC"/>
    <w:rsid w:val="00F04788"/>
    <w:rsid w:val="00F23F57"/>
    <w:rsid w:val="00F309E9"/>
    <w:rsid w:val="00F32F39"/>
    <w:rsid w:val="00F346E6"/>
    <w:rsid w:val="00F41AEB"/>
    <w:rsid w:val="00F50A2E"/>
    <w:rsid w:val="00F543B1"/>
    <w:rsid w:val="00F6087F"/>
    <w:rsid w:val="00F620BA"/>
    <w:rsid w:val="00F67114"/>
    <w:rsid w:val="00F67970"/>
    <w:rsid w:val="00F7183F"/>
    <w:rsid w:val="00F74BCA"/>
    <w:rsid w:val="00F920B8"/>
    <w:rsid w:val="00F9524C"/>
    <w:rsid w:val="00FA1ADC"/>
    <w:rsid w:val="00FA71DB"/>
    <w:rsid w:val="00FA76BE"/>
    <w:rsid w:val="00FB29A6"/>
    <w:rsid w:val="00FB3995"/>
    <w:rsid w:val="00FB564E"/>
    <w:rsid w:val="00FC7954"/>
    <w:rsid w:val="00FD5C5B"/>
    <w:rsid w:val="00FE6137"/>
    <w:rsid w:val="01394A30"/>
    <w:rsid w:val="075E3FD0"/>
    <w:rsid w:val="0998513F"/>
    <w:rsid w:val="0F774FB5"/>
    <w:rsid w:val="14F65263"/>
    <w:rsid w:val="15655021"/>
    <w:rsid w:val="190D20D9"/>
    <w:rsid w:val="1A34721A"/>
    <w:rsid w:val="20FD356C"/>
    <w:rsid w:val="26CD39E1"/>
    <w:rsid w:val="2718718B"/>
    <w:rsid w:val="31CF18D8"/>
    <w:rsid w:val="3294567F"/>
    <w:rsid w:val="32FD1240"/>
    <w:rsid w:val="341502E5"/>
    <w:rsid w:val="35BE01DF"/>
    <w:rsid w:val="397F500E"/>
    <w:rsid w:val="47046B53"/>
    <w:rsid w:val="48C215B8"/>
    <w:rsid w:val="48DB4341"/>
    <w:rsid w:val="4C296AC6"/>
    <w:rsid w:val="512D7D47"/>
    <w:rsid w:val="59722351"/>
    <w:rsid w:val="5D4532E2"/>
    <w:rsid w:val="5E4D6F46"/>
    <w:rsid w:val="6C0A7EB8"/>
    <w:rsid w:val="7A9343F5"/>
    <w:rsid w:val="7CEA3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38A15F0C-9E72-4229-8498-CB84612A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rFonts w:asciiTheme="minorHAnsi" w:eastAsiaTheme="minorEastAsia" w:hAnsiTheme="minorHAnsi" w:cstheme="minorBidi"/>
    </w:rPr>
  </w:style>
  <w:style w:type="paragraph" w:styleId="a4">
    <w:name w:val="Balloon Text"/>
    <w:basedOn w:val="a"/>
    <w:link w:val="Char0"/>
    <w:uiPriority w:val="99"/>
    <w:semiHidden/>
    <w:unhideWhenUsed/>
    <w:qFormat/>
    <w:rPr>
      <w:rFonts w:asciiTheme="minorHAnsi" w:eastAsiaTheme="minorEastAsia" w:hAnsiTheme="minorHAnsi" w:cstheme="minorBidi"/>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unhideWhenUsed/>
    <w:qFormat/>
    <w:pPr>
      <w:snapToGrid w:val="0"/>
      <w:jc w:val="left"/>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qFormat/>
    <w:rPr>
      <w:rFonts w:ascii="Calibri" w:eastAsia="宋体" w:hAnsi="Calibri" w:cs="Times New Roman"/>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rFonts w:asciiTheme="minorHAnsi" w:eastAsiaTheme="minorEastAsia" w:hAnsiTheme="minorHAnsi" w:cstheme="minorBidi"/>
      <w:color w:val="333333"/>
      <w:u w:val="none"/>
    </w:rPr>
  </w:style>
  <w:style w:type="character" w:styleId="ab">
    <w:name w:val="annotation reference"/>
    <w:basedOn w:val="a0"/>
    <w:uiPriority w:val="99"/>
    <w:semiHidden/>
    <w:unhideWhenUsed/>
    <w:qFormat/>
    <w:rPr>
      <w:rFonts w:asciiTheme="minorHAnsi" w:eastAsiaTheme="minorEastAsia" w:hAnsiTheme="minorHAnsi" w:cstheme="minorBidi"/>
      <w:sz w:val="21"/>
      <w:szCs w:val="21"/>
    </w:rPr>
  </w:style>
  <w:style w:type="character" w:styleId="ac">
    <w:name w:val="footnote reference"/>
    <w:basedOn w:val="a0"/>
    <w:uiPriority w:val="99"/>
    <w:unhideWhenUsed/>
    <w:qFormat/>
    <w:rPr>
      <w:rFonts w:asciiTheme="minorHAnsi" w:eastAsiaTheme="minorEastAsia" w:hAnsiTheme="minorHAnsi" w:cstheme="minorBidi"/>
      <w:vertAlign w:val="superscript"/>
    </w:rPr>
  </w:style>
  <w:style w:type="character" w:customStyle="1" w:styleId="Char1">
    <w:name w:val="页脚 Char"/>
    <w:basedOn w:val="a0"/>
    <w:link w:val="a5"/>
    <w:uiPriority w:val="99"/>
    <w:qFormat/>
    <w:rPr>
      <w:sz w:val="18"/>
      <w:szCs w:val="18"/>
    </w:rPr>
  </w:style>
  <w:style w:type="character" w:customStyle="1" w:styleId="Char2">
    <w:name w:val="页眉 Char"/>
    <w:basedOn w:val="a0"/>
    <w:link w:val="a6"/>
    <w:uiPriority w:val="99"/>
    <w:qFormat/>
    <w:rPr>
      <w:sz w:val="18"/>
      <w:szCs w:val="18"/>
    </w:rPr>
  </w:style>
  <w:style w:type="character" w:customStyle="1" w:styleId="Char5">
    <w:name w:val="报告正文 Char"/>
    <w:link w:val="ad"/>
    <w:qFormat/>
    <w:locked/>
    <w:rPr>
      <w:rFonts w:ascii="Times New Roman" w:eastAsia="仿宋" w:hAnsi="Times New Roman" w:cstheme="minorBidi"/>
      <w:sz w:val="30"/>
      <w:szCs w:val="24"/>
    </w:rPr>
  </w:style>
  <w:style w:type="paragraph" w:customStyle="1" w:styleId="ad">
    <w:name w:val="报告正文"/>
    <w:basedOn w:val="a"/>
    <w:link w:val="Char5"/>
    <w:qFormat/>
    <w:pPr>
      <w:ind w:firstLineChars="200" w:firstLine="200"/>
    </w:pPr>
    <w:rPr>
      <w:rFonts w:ascii="Times New Roman" w:eastAsia="仿宋" w:hAnsi="Times New Roman" w:cstheme="minorBidi"/>
      <w:sz w:val="30"/>
      <w:szCs w:val="24"/>
    </w:rPr>
  </w:style>
  <w:style w:type="character" w:customStyle="1" w:styleId="Char">
    <w:name w:val="批注文字 Char"/>
    <w:basedOn w:val="a0"/>
    <w:link w:val="a3"/>
    <w:uiPriority w:val="99"/>
    <w:semiHidden/>
    <w:qFormat/>
    <w:rPr>
      <w:rFonts w:asciiTheme="minorHAnsi" w:eastAsiaTheme="minorEastAsia" w:hAnsiTheme="minorHAnsi" w:cstheme="minorBidi"/>
    </w:rPr>
  </w:style>
  <w:style w:type="character" w:customStyle="1" w:styleId="Char0">
    <w:name w:val="批注框文本 Char"/>
    <w:basedOn w:val="a0"/>
    <w:link w:val="a4"/>
    <w:uiPriority w:val="99"/>
    <w:semiHidden/>
    <w:qFormat/>
    <w:rPr>
      <w:rFonts w:asciiTheme="minorHAnsi" w:eastAsiaTheme="minorEastAsia" w:hAnsiTheme="minorHAnsi" w:cstheme="minorBidi"/>
      <w:sz w:val="18"/>
      <w:szCs w:val="18"/>
    </w:rPr>
  </w:style>
  <w:style w:type="paragraph" w:styleId="ae">
    <w:name w:val="List Paragraph"/>
    <w:basedOn w:val="a"/>
    <w:uiPriority w:val="34"/>
    <w:qFormat/>
    <w:pPr>
      <w:ind w:firstLineChars="200" w:firstLine="420"/>
    </w:pPr>
    <w:rPr>
      <w:rFonts w:asciiTheme="minorHAnsi" w:eastAsiaTheme="minorEastAsia" w:hAnsiTheme="minorHAnsi" w:cstheme="minorBidi"/>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Char3">
    <w:name w:val="脚注文本 Char"/>
    <w:basedOn w:val="a0"/>
    <w:link w:val="a7"/>
    <w:uiPriority w:val="99"/>
    <w:qFormat/>
    <w:rPr>
      <w:rFonts w:asciiTheme="minorHAnsi" w:eastAsiaTheme="minorEastAsia" w:hAnsiTheme="minorHAnsi" w:cstheme="minorBidi"/>
      <w:sz w:val="18"/>
      <w:szCs w:val="18"/>
    </w:rPr>
  </w:style>
  <w:style w:type="paragraph" w:customStyle="1" w:styleId="20">
    <w:name w:val="修订2"/>
    <w:hidden/>
    <w:uiPriority w:val="99"/>
    <w:semiHidden/>
    <w:qFormat/>
    <w:rPr>
      <w:kern w:val="2"/>
      <w:sz w:val="21"/>
      <w:szCs w:val="22"/>
    </w:rPr>
  </w:style>
  <w:style w:type="character" w:customStyle="1" w:styleId="1Char">
    <w:name w:val="标题 1 Char"/>
    <w:basedOn w:val="a0"/>
    <w:link w:val="1"/>
    <w:uiPriority w:val="9"/>
    <w:qFormat/>
    <w:rPr>
      <w:b/>
      <w:bCs/>
      <w:kern w:val="44"/>
      <w:sz w:val="44"/>
      <w:szCs w:val="44"/>
    </w:rPr>
  </w:style>
  <w:style w:type="paragraph" w:customStyle="1" w:styleId="11">
    <w:name w:val="样式1"/>
    <w:basedOn w:val="1"/>
    <w:link w:val="1Char0"/>
    <w:qFormat/>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1Char0">
    <w:name w:val="样式1 Char"/>
    <w:basedOn w:val="1Char"/>
    <w:link w:val="11"/>
    <w:qFormat/>
    <w:rPr>
      <w:b/>
      <w:bCs/>
      <w:kern w:val="44"/>
      <w:sz w:val="44"/>
      <w:szCs w:val="44"/>
    </w:rPr>
  </w:style>
  <w:style w:type="character" w:customStyle="1" w:styleId="3Char">
    <w:name w:val="标题 3 Char"/>
    <w:basedOn w:val="a0"/>
    <w:link w:val="3"/>
    <w:uiPriority w:val="9"/>
    <w:qFormat/>
    <w:rPr>
      <w:b/>
      <w:bCs/>
      <w:kern w:val="2"/>
      <w:sz w:val="32"/>
      <w:szCs w:val="32"/>
    </w:rPr>
  </w:style>
  <w:style w:type="character" w:customStyle="1" w:styleId="Char4">
    <w:name w:val="批注主题 Char"/>
    <w:basedOn w:val="Char"/>
    <w:link w:val="a8"/>
    <w:uiPriority w:val="99"/>
    <w:semiHidden/>
    <w:qFormat/>
    <w:rPr>
      <w:rFonts w:asciiTheme="minorHAnsi" w:eastAsiaTheme="minorEastAsia" w:hAnsiTheme="minorHAnsi" w:cstheme="minorBidi"/>
      <w:b/>
      <w:bCs/>
      <w:kern w:val="2"/>
      <w:sz w:val="21"/>
      <w:szCs w:val="22"/>
    </w:rPr>
  </w:style>
  <w:style w:type="paragraph" w:customStyle="1" w:styleId="19">
    <w:name w:val="样式19"/>
    <w:basedOn w:val="a"/>
    <w:qFormat/>
    <w:pPr>
      <w:spacing w:line="360" w:lineRule="auto"/>
    </w:pPr>
    <w:rPr>
      <w:rFonts w:ascii="仿宋_GB2312" w:eastAsia="仿宋_GB2312" w:hAnsi="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zhouyou@shclearing.com.cn</dc:creator>
  <cp:lastModifiedBy>周游</cp:lastModifiedBy>
  <cp:revision>45</cp:revision>
  <cp:lastPrinted>2025-09-01T08:46:00Z</cp:lastPrinted>
  <dcterms:created xsi:type="dcterms:W3CDTF">2024-11-11T15:42:00Z</dcterms:created>
  <dcterms:modified xsi:type="dcterms:W3CDTF">2025-09-26T10:32:00Z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60D1450DE75F4D7185D1ED1EAB068ACF</vt:lpwstr>
  </property>
</Properties>
</file>