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BB9A83">
      <w:pPr>
        <w:pageBreakBefore w:val="0"/>
        <w:widowControl w:val="0"/>
        <w:kinsoku/>
        <w:wordWrap/>
        <w:overflowPunct/>
        <w:topLinePunct w:val="0"/>
        <w:bidi w:val="0"/>
        <w:adjustRightInd w:val="0"/>
        <w:snapToGrid w:val="0"/>
        <w:spacing w:line="580" w:lineRule="exact"/>
        <w:textAlignment w:val="auto"/>
        <w:rPr>
          <w:rFonts w:hint="default" w:ascii="黑体" w:hAnsi="黑体" w:eastAsia="黑体" w:cs="黑体"/>
          <w:bCs/>
          <w:sz w:val="32"/>
          <w:szCs w:val="32"/>
          <w:highlight w:val="none"/>
          <w:lang w:val="en-US" w:eastAsia="zh-CN"/>
        </w:rPr>
      </w:pPr>
      <w:r>
        <w:rPr>
          <w:rFonts w:hint="eastAsia" w:ascii="黑体" w:hAnsi="黑体" w:eastAsia="黑体" w:cs="黑体"/>
          <w:bCs/>
          <w:sz w:val="32"/>
          <w:szCs w:val="32"/>
          <w:highlight w:val="none"/>
          <w:lang w:eastAsia="zh-CN"/>
        </w:rPr>
        <w:t>附件</w:t>
      </w:r>
      <w:r>
        <w:rPr>
          <w:rFonts w:hint="eastAsia" w:ascii="黑体" w:hAnsi="黑体" w:eastAsia="黑体" w:cs="黑体"/>
          <w:bCs/>
          <w:sz w:val="32"/>
          <w:szCs w:val="32"/>
          <w:highlight w:val="none"/>
          <w:lang w:val="en-US" w:eastAsia="zh-CN"/>
        </w:rPr>
        <w:t>1</w:t>
      </w:r>
    </w:p>
    <w:p w14:paraId="5EEFACE7">
      <w:pPr>
        <w:pageBreakBefore w:val="0"/>
        <w:widowControl w:val="0"/>
        <w:kinsoku/>
        <w:wordWrap/>
        <w:overflowPunct/>
        <w:topLinePunct w:val="0"/>
        <w:bidi w:val="0"/>
        <w:adjustRightInd w:val="0"/>
        <w:snapToGrid w:val="0"/>
        <w:spacing w:line="580" w:lineRule="exact"/>
        <w:textAlignment w:val="auto"/>
        <w:rPr>
          <w:rFonts w:hint="eastAsia" w:ascii="仿宋" w:hAnsi="仿宋" w:eastAsia="仿宋"/>
          <w:bCs/>
          <w:sz w:val="30"/>
          <w:szCs w:val="30"/>
          <w:highlight w:val="none"/>
        </w:rPr>
      </w:pPr>
    </w:p>
    <w:p w14:paraId="4A44E4CD">
      <w:pPr>
        <w:adjustRightInd w:val="0"/>
        <w:snapToGrid w:val="0"/>
        <w:spacing w:line="580" w:lineRule="exact"/>
        <w:jc w:val="center"/>
        <w:rPr>
          <w:rFonts w:hint="eastAsia" w:ascii="宋体" w:hAnsi="宋体" w:eastAsia="宋体" w:cs="宋体"/>
          <w:b/>
          <w:bCs w:val="0"/>
          <w:sz w:val="44"/>
          <w:szCs w:val="44"/>
          <w:highlight w:val="none"/>
        </w:rPr>
      </w:pPr>
      <w:r>
        <w:rPr>
          <w:rFonts w:hint="eastAsia" w:ascii="宋体" w:hAnsi="宋体" w:eastAsia="宋体" w:cs="宋体"/>
          <w:b/>
          <w:bCs w:val="0"/>
          <w:sz w:val="44"/>
          <w:szCs w:val="44"/>
          <w:highlight w:val="none"/>
        </w:rPr>
        <w:t>银行间市场清算所股份有限公司</w:t>
      </w:r>
    </w:p>
    <w:p w14:paraId="35E0B161">
      <w:pPr>
        <w:adjustRightInd w:val="0"/>
        <w:snapToGrid w:val="0"/>
        <w:spacing w:line="580" w:lineRule="exact"/>
        <w:jc w:val="center"/>
        <w:rPr>
          <w:rFonts w:hint="eastAsia" w:ascii="宋体" w:hAnsi="宋体" w:eastAsia="宋体" w:cs="宋体"/>
          <w:b/>
          <w:bCs w:val="0"/>
          <w:sz w:val="44"/>
          <w:szCs w:val="44"/>
          <w:highlight w:val="none"/>
        </w:rPr>
      </w:pPr>
      <w:r>
        <w:rPr>
          <w:rFonts w:hint="eastAsia" w:ascii="宋体" w:hAnsi="宋体" w:eastAsia="宋体" w:cs="宋体"/>
          <w:b/>
          <w:bCs w:val="0"/>
          <w:sz w:val="44"/>
          <w:szCs w:val="44"/>
          <w:highlight w:val="none"/>
        </w:rPr>
        <w:t>债券登记托管、清算结算业务规则</w:t>
      </w:r>
    </w:p>
    <w:p w14:paraId="652B363B">
      <w:pPr>
        <w:pageBreakBefore w:val="0"/>
        <w:widowControl w:val="0"/>
        <w:kinsoku/>
        <w:wordWrap/>
        <w:overflowPunct/>
        <w:topLinePunct w:val="0"/>
        <w:bidi w:val="0"/>
        <w:adjustRightInd w:val="0"/>
        <w:snapToGrid w:val="0"/>
        <w:spacing w:line="580" w:lineRule="exact"/>
        <w:jc w:val="center"/>
        <w:textAlignment w:val="auto"/>
        <w:rPr>
          <w:rFonts w:hint="eastAsia" w:ascii="仿宋" w:hAnsi="仿宋" w:eastAsia="仿宋"/>
          <w:sz w:val="30"/>
          <w:szCs w:val="30"/>
          <w:highlight w:val="none"/>
          <w:lang w:val="en-GB"/>
        </w:rPr>
      </w:pPr>
    </w:p>
    <w:p w14:paraId="6AAC4505">
      <w:pPr>
        <w:pStyle w:val="18"/>
        <w:pageBreakBefore w:val="0"/>
        <w:widowControl w:val="0"/>
        <w:numPr>
          <w:ilvl w:val="0"/>
          <w:numId w:val="1"/>
        </w:numPr>
        <w:kinsoku/>
        <w:wordWrap/>
        <w:overflowPunct/>
        <w:topLinePunct w:val="0"/>
        <w:bidi w:val="0"/>
        <w:adjustRightInd w:val="0"/>
        <w:snapToGrid w:val="0"/>
        <w:spacing w:before="0" w:after="0" w:line="580" w:lineRule="exact"/>
        <w:ind w:left="0" w:firstLine="0"/>
        <w:textAlignment w:val="auto"/>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rPr>
        <w:t>总则</w:t>
      </w:r>
    </w:p>
    <w:p w14:paraId="35F104CC">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hint="eastAsia" w:ascii="仿宋" w:hAnsi="仿宋" w:eastAsia="仿宋"/>
          <w:sz w:val="32"/>
          <w:szCs w:val="32"/>
          <w:highlight w:val="none"/>
          <w:lang w:val="en-GB"/>
        </w:rPr>
      </w:pPr>
      <w:r>
        <w:rPr>
          <w:rFonts w:hint="eastAsia" w:ascii="仿宋" w:hAnsi="仿宋" w:eastAsia="仿宋"/>
          <w:sz w:val="32"/>
          <w:szCs w:val="32"/>
          <w:highlight w:val="none"/>
          <w:lang w:val="en-GB"/>
        </w:rPr>
        <w:t>为规范开展银行间债券市场债券登记托管、清算结算业务，保障市场参与各方合法权益，促进银行间债券市场健康发展，</w:t>
      </w:r>
      <w:r>
        <w:rPr>
          <w:rFonts w:hint="eastAsia" w:ascii="仿宋" w:hAnsi="仿宋" w:eastAsia="仿宋"/>
          <w:sz w:val="32"/>
          <w:szCs w:val="32"/>
          <w:highlight w:val="none"/>
        </w:rPr>
        <w:t>银行间市场清算所股份有限公司（以下简称上海清算所）</w:t>
      </w:r>
      <w:r>
        <w:rPr>
          <w:rFonts w:hint="eastAsia" w:ascii="仿宋" w:hAnsi="仿宋" w:eastAsia="仿宋"/>
          <w:sz w:val="32"/>
          <w:szCs w:val="32"/>
          <w:highlight w:val="none"/>
          <w:lang w:val="en-GB"/>
        </w:rPr>
        <w:t>依据</w:t>
      </w:r>
      <w:r>
        <w:rPr>
          <w:rFonts w:hint="eastAsia" w:ascii="仿宋" w:hAnsi="仿宋" w:eastAsia="仿宋"/>
          <w:sz w:val="32"/>
          <w:szCs w:val="32"/>
          <w:highlight w:val="none"/>
        </w:rPr>
        <w:t>《银行间债券市</w:t>
      </w:r>
      <w:bookmarkStart w:id="0" w:name="_GoBack"/>
      <w:bookmarkEnd w:id="0"/>
      <w:r>
        <w:rPr>
          <w:rFonts w:hint="eastAsia" w:ascii="仿宋" w:hAnsi="仿宋" w:eastAsia="仿宋"/>
          <w:sz w:val="32"/>
          <w:szCs w:val="32"/>
          <w:highlight w:val="none"/>
        </w:rPr>
        <w:t>场债券登记托管结算管理办法》</w:t>
      </w:r>
      <w:r>
        <w:rPr>
          <w:rFonts w:hint="eastAsia" w:ascii="仿宋" w:hAnsi="仿宋" w:eastAsia="仿宋"/>
          <w:sz w:val="32"/>
          <w:szCs w:val="32"/>
          <w:highlight w:val="none"/>
          <w:lang w:val="zh-CN"/>
        </w:rPr>
        <w:t>《银行间市场清算所股份有限公司业务监督管理规则》等中国人民银行</w:t>
      </w:r>
      <w:r>
        <w:rPr>
          <w:rFonts w:hint="eastAsia" w:ascii="仿宋" w:hAnsi="仿宋" w:eastAsia="仿宋"/>
          <w:sz w:val="32"/>
          <w:szCs w:val="32"/>
          <w:highlight w:val="none"/>
        </w:rPr>
        <w:t>有关银行间债券市场及金融基础设施监督管理的规定</w:t>
      </w:r>
      <w:r>
        <w:rPr>
          <w:rFonts w:hint="eastAsia" w:ascii="仿宋" w:hAnsi="仿宋" w:eastAsia="仿宋"/>
          <w:sz w:val="32"/>
          <w:szCs w:val="32"/>
          <w:highlight w:val="none"/>
          <w:lang w:val="en-GB"/>
        </w:rPr>
        <w:t>，制定本规则。</w:t>
      </w:r>
    </w:p>
    <w:p w14:paraId="49150F8E">
      <w:pPr>
        <w:pStyle w:val="19"/>
        <w:numPr>
          <w:ilvl w:val="0"/>
          <w:numId w:val="2"/>
        </w:numPr>
        <w:tabs>
          <w:tab w:val="left" w:pos="0"/>
          <w:tab w:val="left" w:pos="1985"/>
          <w:tab w:val="left" w:pos="2340"/>
        </w:tabs>
        <w:adjustRightInd w:val="0"/>
        <w:snapToGrid w:val="0"/>
        <w:spacing w:line="580" w:lineRule="exact"/>
        <w:ind w:left="0" w:firstLine="600"/>
        <w:rPr>
          <w:rFonts w:hint="eastAsia" w:ascii="仿宋" w:hAnsi="仿宋" w:eastAsia="仿宋"/>
          <w:sz w:val="32"/>
          <w:szCs w:val="32"/>
          <w:highlight w:val="none"/>
          <w:lang w:val="en-GB"/>
        </w:rPr>
      </w:pPr>
      <w:r>
        <w:rPr>
          <w:rFonts w:hint="eastAsia" w:ascii="仿宋" w:hAnsi="仿宋" w:eastAsia="仿宋"/>
          <w:sz w:val="32"/>
          <w:szCs w:val="32"/>
          <w:highlight w:val="none"/>
          <w:lang w:val="en-GB"/>
        </w:rPr>
        <w:t>上海清算所是中国人民银行指定的</w:t>
      </w:r>
      <w:r>
        <w:rPr>
          <w:rFonts w:hint="eastAsia" w:ascii="仿宋" w:hAnsi="仿宋" w:eastAsia="仿宋"/>
          <w:sz w:val="32"/>
          <w:szCs w:val="32"/>
          <w:highlight w:val="none"/>
          <w:lang w:val="en-GB" w:eastAsia="zh-CN"/>
        </w:rPr>
        <w:t>债券中央存管</w:t>
      </w:r>
      <w:r>
        <w:rPr>
          <w:rFonts w:hint="eastAsia" w:ascii="仿宋" w:hAnsi="仿宋" w:eastAsia="仿宋"/>
          <w:sz w:val="32"/>
          <w:szCs w:val="32"/>
          <w:highlight w:val="none"/>
          <w:lang w:val="en-GB"/>
        </w:rPr>
        <w:t>机构，承担</w:t>
      </w:r>
      <w:r>
        <w:rPr>
          <w:rFonts w:hint="eastAsia" w:ascii="仿宋" w:hAnsi="仿宋" w:eastAsia="仿宋"/>
          <w:sz w:val="32"/>
          <w:szCs w:val="32"/>
          <w:highlight w:val="none"/>
          <w:lang w:val="en-GB" w:eastAsia="zh-CN"/>
        </w:rPr>
        <w:t>债券</w:t>
      </w:r>
      <w:r>
        <w:rPr>
          <w:rFonts w:hint="eastAsia" w:ascii="仿宋" w:hAnsi="仿宋" w:eastAsia="仿宋"/>
          <w:sz w:val="32"/>
          <w:szCs w:val="32"/>
          <w:highlight w:val="none"/>
          <w:lang w:val="en-GB"/>
        </w:rPr>
        <w:t>中央登记、存管及结算职能，为债券发行人提供登记、信息披露、代理付息兑付</w:t>
      </w:r>
      <w:r>
        <w:rPr>
          <w:rFonts w:hint="eastAsia" w:ascii="仿宋" w:hAnsi="仿宋" w:eastAsia="仿宋"/>
          <w:sz w:val="32"/>
          <w:szCs w:val="32"/>
          <w:highlight w:val="none"/>
          <w:lang w:val="en-GB" w:eastAsia="zh-CN"/>
        </w:rPr>
        <w:t>和拨付相关收益资金</w:t>
      </w:r>
      <w:r>
        <w:rPr>
          <w:rFonts w:hint="eastAsia" w:ascii="仿宋" w:hAnsi="仿宋" w:eastAsia="仿宋"/>
          <w:sz w:val="32"/>
          <w:szCs w:val="32"/>
          <w:highlight w:val="none"/>
          <w:lang w:val="en-GB"/>
        </w:rPr>
        <w:t>等服务，为债券持有人提供托管、交易结算、债券估值</w:t>
      </w:r>
      <w:r>
        <w:rPr>
          <w:rFonts w:hint="eastAsia" w:ascii="仿宋" w:hAnsi="仿宋" w:eastAsia="仿宋"/>
          <w:sz w:val="32"/>
          <w:szCs w:val="32"/>
          <w:highlight w:val="none"/>
          <w:lang w:val="en-GB" w:eastAsia="zh-CN"/>
        </w:rPr>
        <w:t>等</w:t>
      </w:r>
      <w:r>
        <w:rPr>
          <w:rFonts w:hint="eastAsia" w:ascii="仿宋" w:hAnsi="仿宋" w:eastAsia="仿宋"/>
          <w:sz w:val="32"/>
          <w:szCs w:val="32"/>
          <w:highlight w:val="none"/>
          <w:lang w:val="en-GB"/>
        </w:rPr>
        <w:t>服务，为市场参与</w:t>
      </w:r>
      <w:r>
        <w:rPr>
          <w:rFonts w:hint="eastAsia" w:ascii="仿宋" w:hAnsi="仿宋" w:eastAsia="仿宋"/>
          <w:sz w:val="32"/>
          <w:szCs w:val="32"/>
          <w:highlight w:val="none"/>
          <w:lang w:val="en-GB" w:eastAsia="zh-CN"/>
        </w:rPr>
        <w:t>者</w:t>
      </w:r>
      <w:r>
        <w:rPr>
          <w:rFonts w:hint="eastAsia" w:ascii="仿宋" w:hAnsi="仿宋" w:eastAsia="仿宋"/>
          <w:sz w:val="32"/>
          <w:szCs w:val="32"/>
          <w:highlight w:val="none"/>
          <w:lang w:val="en-GB"/>
        </w:rPr>
        <w:t>提供</w:t>
      </w:r>
      <w:r>
        <w:rPr>
          <w:rFonts w:hint="eastAsia" w:ascii="仿宋" w:hAnsi="仿宋" w:eastAsia="仿宋"/>
          <w:sz w:val="32"/>
          <w:szCs w:val="32"/>
          <w:highlight w:val="none"/>
          <w:lang w:val="en-GB" w:eastAsia="zh-CN"/>
        </w:rPr>
        <w:t>担保</w:t>
      </w:r>
      <w:r>
        <w:rPr>
          <w:rFonts w:hint="eastAsia" w:ascii="仿宋" w:hAnsi="仿宋" w:eastAsia="仿宋"/>
          <w:sz w:val="32"/>
          <w:szCs w:val="32"/>
          <w:highlight w:val="none"/>
          <w:lang w:val="en-GB"/>
        </w:rPr>
        <w:t>品管理及其他相关服务。</w:t>
      </w:r>
    </w:p>
    <w:p w14:paraId="7F13EEDE">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ascii="仿宋" w:hAnsi="仿宋" w:eastAsia="仿宋"/>
          <w:sz w:val="32"/>
          <w:szCs w:val="32"/>
          <w:highlight w:val="none"/>
          <w:lang w:val="en-GB"/>
        </w:rPr>
      </w:pPr>
      <w:r>
        <w:rPr>
          <w:rFonts w:hint="eastAsia" w:ascii="仿宋" w:hAnsi="仿宋" w:eastAsia="仿宋"/>
          <w:sz w:val="32"/>
          <w:szCs w:val="32"/>
          <w:highlight w:val="none"/>
          <w:lang w:val="en-GB"/>
        </w:rPr>
        <w:t>上海清算所通过电子簿记方式办理债券登记、托管、付息兑付、清算、结算及其他相关业务。</w:t>
      </w:r>
    </w:p>
    <w:p w14:paraId="045DB707">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ascii="仿宋" w:hAnsi="仿宋" w:eastAsia="仿宋"/>
          <w:sz w:val="32"/>
          <w:szCs w:val="32"/>
          <w:highlight w:val="none"/>
          <w:lang w:val="en-GB"/>
        </w:rPr>
      </w:pPr>
      <w:r>
        <w:rPr>
          <w:rFonts w:hint="eastAsia" w:ascii="仿宋" w:hAnsi="仿宋" w:eastAsia="仿宋"/>
          <w:sz w:val="32"/>
          <w:szCs w:val="32"/>
          <w:highlight w:val="none"/>
          <w:lang w:val="en-GB"/>
        </w:rPr>
        <w:t>本规则适用于上海清算所负责中央登记、存管的各类债券的登记托管、全额逐笔清算结算业务。</w:t>
      </w:r>
    </w:p>
    <w:p w14:paraId="2B9151D8">
      <w:pPr>
        <w:pStyle w:val="19"/>
        <w:pageBreakBefore w:val="0"/>
        <w:widowControl w:val="0"/>
        <w:tabs>
          <w:tab w:val="left" w:pos="0"/>
          <w:tab w:val="left" w:pos="1985"/>
          <w:tab w:val="left" w:pos="2340"/>
        </w:tabs>
        <w:kinsoku/>
        <w:wordWrap/>
        <w:overflowPunct/>
        <w:topLinePunct w:val="0"/>
        <w:bidi w:val="0"/>
        <w:adjustRightInd w:val="0"/>
        <w:snapToGrid w:val="0"/>
        <w:spacing w:line="580" w:lineRule="exact"/>
        <w:ind w:firstLine="640" w:firstLineChars="200"/>
        <w:textAlignment w:val="auto"/>
        <w:rPr>
          <w:rFonts w:ascii="仿宋" w:hAnsi="仿宋" w:eastAsia="仿宋"/>
          <w:sz w:val="32"/>
          <w:szCs w:val="32"/>
          <w:highlight w:val="none"/>
          <w:lang w:val="en-GB"/>
        </w:rPr>
      </w:pPr>
      <w:r>
        <w:rPr>
          <w:rFonts w:hint="eastAsia" w:ascii="仿宋" w:hAnsi="仿宋" w:eastAsia="仿宋"/>
          <w:sz w:val="32"/>
          <w:szCs w:val="32"/>
          <w:highlight w:val="none"/>
          <w:lang w:val="en-GB"/>
        </w:rPr>
        <w:t>市场参与者在上海清算所办理债券登记托管、清算结算业务时，应遵守相关法律法规、部门规章、本规则和上海清算所相关业务规定。</w:t>
      </w:r>
    </w:p>
    <w:p w14:paraId="2FEF117B">
      <w:pPr>
        <w:pStyle w:val="18"/>
        <w:keepNext w:val="0"/>
        <w:keepLines w:val="0"/>
        <w:pageBreakBefore w:val="0"/>
        <w:widowControl w:val="0"/>
        <w:numPr>
          <w:ilvl w:val="0"/>
          <w:numId w:val="1"/>
        </w:numPr>
        <w:kinsoku/>
        <w:wordWrap/>
        <w:overflowPunct/>
        <w:topLinePunct w:val="0"/>
        <w:bidi w:val="0"/>
        <w:adjustRightInd w:val="0"/>
        <w:snapToGrid w:val="0"/>
        <w:spacing w:before="0" w:after="0" w:line="580" w:lineRule="exact"/>
        <w:ind w:left="0" w:firstLine="0"/>
        <w:textAlignment w:val="auto"/>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lang w:eastAsia="zh-CN"/>
        </w:rPr>
        <w:t>债券账户和结算成员</w:t>
      </w:r>
    </w:p>
    <w:p w14:paraId="3411D107">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hint="eastAsia" w:ascii="仿宋" w:hAnsi="仿宋" w:eastAsia="仿宋"/>
          <w:sz w:val="32"/>
          <w:szCs w:val="32"/>
          <w:highlight w:val="none"/>
          <w:lang w:val="en-GB"/>
        </w:rPr>
      </w:pPr>
      <w:r>
        <w:rPr>
          <w:rFonts w:hint="eastAsia" w:ascii="仿宋" w:hAnsi="仿宋" w:eastAsia="仿宋"/>
          <w:sz w:val="32"/>
          <w:szCs w:val="32"/>
          <w:highlight w:val="none"/>
          <w:lang w:val="en-GB"/>
        </w:rPr>
        <w:t>符合银行间债券市场准入标准的境内及境外机构投资者</w:t>
      </w:r>
      <w:r>
        <w:rPr>
          <w:rFonts w:hint="eastAsia" w:ascii="仿宋" w:hAnsi="仿宋" w:eastAsia="仿宋"/>
          <w:sz w:val="32"/>
          <w:szCs w:val="32"/>
          <w:highlight w:val="none"/>
          <w:lang w:val="en-GB" w:eastAsia="zh-CN"/>
        </w:rPr>
        <w:t>，</w:t>
      </w:r>
      <w:r>
        <w:rPr>
          <w:rFonts w:hint="eastAsia" w:ascii="仿宋" w:hAnsi="仿宋" w:eastAsia="仿宋"/>
          <w:sz w:val="32"/>
          <w:szCs w:val="32"/>
          <w:highlight w:val="none"/>
          <w:lang w:val="en-GB"/>
        </w:rPr>
        <w:t>承担债券二级托管职能的</w:t>
      </w:r>
      <w:r>
        <w:rPr>
          <w:rFonts w:hint="eastAsia" w:ascii="仿宋" w:hAnsi="仿宋" w:eastAsia="仿宋"/>
          <w:sz w:val="32"/>
          <w:szCs w:val="32"/>
          <w:highlight w:val="none"/>
          <w:lang w:val="en-GB" w:eastAsia="zh-CN"/>
        </w:rPr>
        <w:t>柜台业务开办</w:t>
      </w:r>
      <w:r>
        <w:rPr>
          <w:rFonts w:hint="eastAsia" w:ascii="仿宋" w:hAnsi="仿宋" w:eastAsia="仿宋"/>
          <w:sz w:val="32"/>
          <w:szCs w:val="32"/>
          <w:highlight w:val="none"/>
          <w:lang w:val="en-GB"/>
        </w:rPr>
        <w:t>机构</w:t>
      </w:r>
      <w:r>
        <w:rPr>
          <w:rFonts w:hint="eastAsia" w:ascii="仿宋" w:hAnsi="仿宋" w:eastAsia="仿宋"/>
          <w:sz w:val="32"/>
          <w:szCs w:val="32"/>
          <w:highlight w:val="none"/>
          <w:lang w:val="en-GB" w:eastAsia="zh-CN"/>
        </w:rPr>
        <w:t>和其他托管机构，以及</w:t>
      </w:r>
      <w:r>
        <w:rPr>
          <w:rFonts w:hint="eastAsia" w:ascii="仿宋" w:hAnsi="仿宋" w:eastAsia="仿宋"/>
          <w:sz w:val="32"/>
          <w:szCs w:val="32"/>
          <w:highlight w:val="none"/>
          <w:lang w:val="en-US" w:eastAsia="zh-CN"/>
        </w:rPr>
        <w:t>监管机构认可的其他投资者</w:t>
      </w:r>
      <w:r>
        <w:rPr>
          <w:rFonts w:hint="eastAsia" w:ascii="仿宋" w:hAnsi="仿宋" w:eastAsia="仿宋"/>
          <w:sz w:val="32"/>
          <w:szCs w:val="32"/>
          <w:highlight w:val="none"/>
          <w:lang w:val="en-GB" w:eastAsia="zh-CN"/>
        </w:rPr>
        <w:t>等（以下统称债券持有人）</w:t>
      </w:r>
      <w:r>
        <w:rPr>
          <w:rFonts w:hint="eastAsia" w:ascii="仿宋" w:hAnsi="仿宋" w:eastAsia="仿宋"/>
          <w:sz w:val="32"/>
          <w:szCs w:val="32"/>
          <w:highlight w:val="none"/>
          <w:lang w:val="en-GB"/>
        </w:rPr>
        <w:t>，可以在上海清算所开立债券账户。</w:t>
      </w:r>
      <w:r>
        <w:rPr>
          <w:rFonts w:hint="eastAsia" w:ascii="仿宋" w:hAnsi="仿宋" w:eastAsia="仿宋"/>
          <w:sz w:val="32"/>
          <w:szCs w:val="32"/>
          <w:highlight w:val="none"/>
          <w:lang w:val="en-GB" w:eastAsia="zh-CN"/>
        </w:rPr>
        <w:t>法人机构可按中国人民银行规定，为证券投资基金等非法人产品单独开立债券账户。</w:t>
      </w:r>
    </w:p>
    <w:p w14:paraId="3ECE8422">
      <w:pPr>
        <w:pStyle w:val="19"/>
        <w:pageBreakBefore w:val="0"/>
        <w:widowControl w:val="0"/>
        <w:tabs>
          <w:tab w:val="left" w:pos="0"/>
          <w:tab w:val="left" w:pos="1985"/>
          <w:tab w:val="left" w:pos="2340"/>
        </w:tabs>
        <w:kinsoku/>
        <w:wordWrap/>
        <w:overflowPunct/>
        <w:topLinePunct w:val="0"/>
        <w:bidi w:val="0"/>
        <w:adjustRightInd w:val="0"/>
        <w:snapToGrid w:val="0"/>
        <w:spacing w:line="580" w:lineRule="exact"/>
        <w:ind w:firstLine="640" w:firstLineChars="200"/>
        <w:textAlignment w:val="auto"/>
        <w:rPr>
          <w:rFonts w:hint="eastAsia" w:ascii="仿宋" w:hAnsi="仿宋" w:eastAsia="仿宋"/>
          <w:sz w:val="32"/>
          <w:szCs w:val="32"/>
          <w:highlight w:val="none"/>
          <w:lang w:val="en-GB"/>
        </w:rPr>
      </w:pPr>
      <w:r>
        <w:rPr>
          <w:rFonts w:hint="eastAsia" w:ascii="仿宋" w:hAnsi="仿宋" w:eastAsia="仿宋"/>
          <w:sz w:val="32"/>
          <w:szCs w:val="32"/>
          <w:highlight w:val="none"/>
          <w:lang w:val="en-GB"/>
        </w:rPr>
        <w:t>债券账户是指在上海清算所开立的、用以记载</w:t>
      </w:r>
      <w:r>
        <w:rPr>
          <w:rFonts w:hint="eastAsia" w:ascii="仿宋" w:hAnsi="仿宋" w:eastAsia="仿宋"/>
          <w:sz w:val="32"/>
          <w:szCs w:val="32"/>
          <w:highlight w:val="none"/>
          <w:lang w:val="en-GB" w:eastAsia="zh-CN"/>
        </w:rPr>
        <w:t>债券持有人</w:t>
      </w:r>
      <w:r>
        <w:rPr>
          <w:rFonts w:hint="eastAsia" w:ascii="仿宋" w:hAnsi="仿宋" w:eastAsia="仿宋"/>
          <w:sz w:val="32"/>
          <w:szCs w:val="32"/>
          <w:highlight w:val="none"/>
          <w:lang w:val="en-GB"/>
        </w:rPr>
        <w:t>所持债券的品种、数量及其变动等情况的电子簿记账户。债券持有人通过债券账户持有债券。</w:t>
      </w:r>
    </w:p>
    <w:p w14:paraId="29923491">
      <w:pPr>
        <w:pStyle w:val="19"/>
        <w:pageBreakBefore w:val="0"/>
        <w:widowControl w:val="0"/>
        <w:tabs>
          <w:tab w:val="left" w:pos="0"/>
          <w:tab w:val="left" w:pos="1985"/>
          <w:tab w:val="left" w:pos="2340"/>
        </w:tabs>
        <w:kinsoku/>
        <w:wordWrap/>
        <w:overflowPunct/>
        <w:topLinePunct w:val="0"/>
        <w:bidi w:val="0"/>
        <w:adjustRightInd w:val="0"/>
        <w:snapToGrid w:val="0"/>
        <w:spacing w:line="580" w:lineRule="exact"/>
        <w:ind w:firstLine="640" w:firstLineChars="200"/>
        <w:textAlignment w:val="auto"/>
        <w:rPr>
          <w:rFonts w:hint="eastAsia" w:ascii="仿宋" w:hAnsi="仿宋" w:eastAsia="仿宋"/>
          <w:sz w:val="32"/>
          <w:szCs w:val="32"/>
          <w:highlight w:val="none"/>
          <w:lang w:val="en-GB" w:eastAsia="zh-CN"/>
        </w:rPr>
      </w:pPr>
      <w:r>
        <w:rPr>
          <w:rFonts w:hint="eastAsia" w:ascii="仿宋" w:hAnsi="仿宋" w:eastAsia="仿宋"/>
          <w:sz w:val="32"/>
          <w:szCs w:val="32"/>
          <w:highlight w:val="none"/>
          <w:lang w:val="en-GB" w:eastAsia="zh-CN"/>
        </w:rPr>
        <w:t>债券账户分为自营账户和代理总账户。</w:t>
      </w:r>
    </w:p>
    <w:p w14:paraId="1CB83881">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ascii="仿宋" w:hAnsi="仿宋" w:eastAsia="仿宋"/>
          <w:sz w:val="32"/>
          <w:szCs w:val="32"/>
          <w:highlight w:val="none"/>
          <w:lang w:val="en-GB"/>
        </w:rPr>
      </w:pPr>
      <w:r>
        <w:rPr>
          <w:rFonts w:hint="eastAsia" w:ascii="仿宋" w:hAnsi="仿宋" w:eastAsia="仿宋"/>
          <w:sz w:val="32"/>
          <w:szCs w:val="32"/>
          <w:highlight w:val="none"/>
          <w:lang w:val="en-GB" w:eastAsia="zh-CN"/>
        </w:rPr>
        <w:t>投资者</w:t>
      </w:r>
      <w:r>
        <w:rPr>
          <w:rFonts w:hint="eastAsia" w:ascii="仿宋" w:hAnsi="仿宋" w:eastAsia="仿宋"/>
          <w:sz w:val="32"/>
          <w:szCs w:val="32"/>
          <w:highlight w:val="none"/>
          <w:lang w:val="en-GB"/>
        </w:rPr>
        <w:t>进入银行间债券市场，应先按照中国人民银行准入备案管理有关规定办理相关手续，</w:t>
      </w:r>
      <w:r>
        <w:rPr>
          <w:rFonts w:hint="eastAsia" w:ascii="仿宋" w:hAnsi="仿宋" w:eastAsia="仿宋"/>
          <w:sz w:val="32"/>
          <w:szCs w:val="32"/>
          <w:highlight w:val="none"/>
          <w:lang w:val="en-GB" w:eastAsia="zh-CN"/>
        </w:rPr>
        <w:t>备案</w:t>
      </w:r>
      <w:r>
        <w:rPr>
          <w:rFonts w:hint="eastAsia" w:ascii="仿宋" w:hAnsi="仿宋" w:eastAsia="仿宋"/>
          <w:sz w:val="32"/>
          <w:szCs w:val="32"/>
          <w:highlight w:val="none"/>
          <w:lang w:val="en-GB"/>
        </w:rPr>
        <w:t>完成后向上海清算所申请开立债券账户</w:t>
      </w:r>
      <w:r>
        <w:rPr>
          <w:rFonts w:hint="eastAsia" w:ascii="仿宋" w:hAnsi="仿宋" w:eastAsia="仿宋"/>
          <w:sz w:val="32"/>
          <w:szCs w:val="32"/>
          <w:highlight w:val="none"/>
          <w:lang w:val="en-GB" w:eastAsia="zh-CN"/>
        </w:rPr>
        <w:t>。同一</w:t>
      </w:r>
      <w:r>
        <w:rPr>
          <w:rFonts w:hint="eastAsia" w:ascii="仿宋" w:hAnsi="仿宋" w:eastAsia="仿宋"/>
          <w:sz w:val="32"/>
          <w:szCs w:val="32"/>
          <w:highlight w:val="none"/>
          <w:lang w:val="en-GB"/>
        </w:rPr>
        <w:t>投资者</w:t>
      </w:r>
      <w:r>
        <w:rPr>
          <w:rFonts w:hint="eastAsia" w:ascii="仿宋" w:hAnsi="仿宋" w:eastAsia="仿宋"/>
          <w:sz w:val="32"/>
          <w:szCs w:val="32"/>
          <w:highlight w:val="none"/>
          <w:lang w:val="en-GB" w:eastAsia="zh-CN"/>
        </w:rPr>
        <w:t>原则上</w:t>
      </w:r>
      <w:r>
        <w:rPr>
          <w:rFonts w:hint="eastAsia" w:ascii="仿宋" w:hAnsi="仿宋" w:eastAsia="仿宋"/>
          <w:sz w:val="32"/>
          <w:szCs w:val="32"/>
          <w:highlight w:val="none"/>
          <w:lang w:val="en-GB"/>
        </w:rPr>
        <w:t>只能</w:t>
      </w:r>
      <w:r>
        <w:rPr>
          <w:rFonts w:hint="eastAsia" w:ascii="仿宋" w:hAnsi="仿宋" w:eastAsia="仿宋"/>
          <w:sz w:val="32"/>
          <w:szCs w:val="32"/>
          <w:highlight w:val="none"/>
          <w:lang w:val="en-GB" w:eastAsia="zh-CN"/>
        </w:rPr>
        <w:t>在上海清算所</w:t>
      </w:r>
      <w:r>
        <w:rPr>
          <w:rFonts w:hint="eastAsia" w:ascii="仿宋" w:hAnsi="仿宋" w:eastAsia="仿宋"/>
          <w:sz w:val="32"/>
          <w:szCs w:val="32"/>
          <w:highlight w:val="none"/>
          <w:lang w:val="en-GB"/>
        </w:rPr>
        <w:t>开立一个</w:t>
      </w:r>
      <w:r>
        <w:rPr>
          <w:rFonts w:hint="eastAsia" w:ascii="仿宋" w:hAnsi="仿宋" w:eastAsia="仿宋"/>
          <w:sz w:val="32"/>
          <w:szCs w:val="32"/>
          <w:highlight w:val="none"/>
          <w:lang w:val="en-US" w:eastAsia="zh-CN"/>
        </w:rPr>
        <w:t>自营</w:t>
      </w:r>
      <w:r>
        <w:rPr>
          <w:rFonts w:hint="eastAsia" w:ascii="仿宋" w:hAnsi="仿宋" w:eastAsia="仿宋"/>
          <w:sz w:val="32"/>
          <w:szCs w:val="32"/>
          <w:highlight w:val="none"/>
          <w:lang w:val="en-GB"/>
        </w:rPr>
        <w:t>账户，中国人民银行另有规定的除外。</w:t>
      </w:r>
    </w:p>
    <w:p w14:paraId="78CEE9B6">
      <w:pPr>
        <w:pStyle w:val="19"/>
        <w:numPr>
          <w:ilvl w:val="0"/>
          <w:numId w:val="2"/>
        </w:numPr>
        <w:tabs>
          <w:tab w:val="left" w:pos="0"/>
          <w:tab w:val="left" w:pos="1985"/>
          <w:tab w:val="left" w:pos="2340"/>
        </w:tabs>
        <w:adjustRightInd w:val="0"/>
        <w:snapToGrid w:val="0"/>
        <w:spacing w:line="580" w:lineRule="exact"/>
        <w:ind w:left="0" w:firstLine="600"/>
        <w:rPr>
          <w:rFonts w:hint="eastAsia" w:ascii="仿宋" w:hAnsi="仿宋" w:eastAsia="仿宋"/>
          <w:sz w:val="32"/>
          <w:szCs w:val="32"/>
          <w:highlight w:val="none"/>
          <w:lang w:val="en-GB" w:eastAsia="zh-CN"/>
        </w:rPr>
      </w:pPr>
      <w:r>
        <w:rPr>
          <w:rFonts w:hint="eastAsia" w:ascii="仿宋" w:hAnsi="仿宋" w:eastAsia="仿宋"/>
          <w:sz w:val="32"/>
          <w:szCs w:val="32"/>
          <w:highlight w:val="none"/>
          <w:lang w:val="en-GB" w:eastAsia="zh-CN"/>
        </w:rPr>
        <w:t>柜台业务开办机构等承担债券二级托管职能的托管机构可以在上海清算所开立代理总账户，用于记载其二级托管的全部债券余额。</w:t>
      </w:r>
    </w:p>
    <w:p w14:paraId="40CFD8C5">
      <w:pPr>
        <w:pStyle w:val="19"/>
        <w:numPr>
          <w:ilvl w:val="0"/>
          <w:numId w:val="0"/>
        </w:numPr>
        <w:tabs>
          <w:tab w:val="left" w:pos="0"/>
          <w:tab w:val="left" w:pos="1985"/>
          <w:tab w:val="left" w:pos="2340"/>
        </w:tabs>
        <w:adjustRightInd w:val="0"/>
        <w:snapToGrid w:val="0"/>
        <w:spacing w:line="580" w:lineRule="exact"/>
        <w:ind w:left="0" w:firstLine="600"/>
        <w:rPr>
          <w:rFonts w:hint="eastAsia" w:ascii="仿宋" w:hAnsi="仿宋" w:eastAsia="仿宋" w:cs="Times New Roman"/>
          <w:sz w:val="32"/>
          <w:szCs w:val="32"/>
          <w:highlight w:val="none"/>
          <w:lang w:val="en-US" w:eastAsia="zh-CN"/>
        </w:rPr>
      </w:pPr>
      <w:r>
        <w:rPr>
          <w:rFonts w:hint="eastAsia" w:ascii="仿宋" w:hAnsi="仿宋" w:eastAsia="仿宋"/>
          <w:sz w:val="32"/>
          <w:szCs w:val="32"/>
          <w:highlight w:val="none"/>
          <w:lang w:eastAsia="zh-CN"/>
        </w:rPr>
        <w:t>托管</w:t>
      </w:r>
      <w:r>
        <w:rPr>
          <w:rFonts w:hint="eastAsia" w:ascii="仿宋" w:hAnsi="仿宋" w:eastAsia="仿宋"/>
          <w:sz w:val="32"/>
          <w:szCs w:val="32"/>
          <w:highlight w:val="none"/>
        </w:rPr>
        <w:t>机构</w:t>
      </w:r>
      <w:r>
        <w:rPr>
          <w:rFonts w:hint="eastAsia" w:ascii="仿宋" w:hAnsi="仿宋" w:eastAsia="仿宋"/>
          <w:sz w:val="32"/>
          <w:szCs w:val="32"/>
          <w:highlight w:val="none"/>
          <w:lang w:eastAsia="zh-CN"/>
        </w:rPr>
        <w:t>为二级托管账户持有人确认的托管债券总额应当与其代理总账户记载的债券余额相等，且</w:t>
      </w:r>
      <w:r>
        <w:rPr>
          <w:rFonts w:hint="eastAsia" w:ascii="仿宋" w:hAnsi="仿宋" w:eastAsia="仿宋"/>
          <w:sz w:val="32"/>
          <w:szCs w:val="32"/>
          <w:highlight w:val="none"/>
          <w:lang w:val="en-US" w:eastAsia="zh-CN"/>
        </w:rPr>
        <w:t>代理总账户内的债券应当与其自营的债券严格分开。</w:t>
      </w:r>
      <w:r>
        <w:rPr>
          <w:rFonts w:hint="eastAsia" w:ascii="仿宋" w:hAnsi="仿宋" w:eastAsia="仿宋" w:cs="Times New Roman"/>
          <w:sz w:val="32"/>
          <w:szCs w:val="32"/>
          <w:highlight w:val="none"/>
          <w:lang w:val="en-US" w:eastAsia="zh-CN" w:bidi="ar"/>
        </w:rPr>
        <w:t>托管机构</w:t>
      </w:r>
      <w:r>
        <w:rPr>
          <w:rFonts w:hint="eastAsia" w:ascii="仿宋" w:hAnsi="仿宋" w:eastAsia="仿宋" w:cs="Times New Roman"/>
          <w:sz w:val="32"/>
          <w:szCs w:val="32"/>
          <w:highlight w:val="none"/>
          <w:lang w:bidi="ar"/>
        </w:rPr>
        <w:t>应按照监管</w:t>
      </w:r>
      <w:r>
        <w:rPr>
          <w:rFonts w:hint="eastAsia" w:ascii="仿宋" w:hAnsi="仿宋" w:eastAsia="仿宋" w:cs="Times New Roman"/>
          <w:sz w:val="32"/>
          <w:szCs w:val="32"/>
          <w:highlight w:val="none"/>
          <w:lang w:eastAsia="zh-CN" w:bidi="ar"/>
        </w:rPr>
        <w:t>要求</w:t>
      </w:r>
      <w:r>
        <w:rPr>
          <w:rFonts w:hint="eastAsia" w:ascii="仿宋" w:hAnsi="仿宋" w:eastAsia="仿宋"/>
          <w:sz w:val="32"/>
          <w:szCs w:val="32"/>
          <w:highlight w:val="none"/>
          <w:lang w:val="en-GB" w:eastAsia="zh-CN"/>
        </w:rPr>
        <w:t>或相关规定</w:t>
      </w:r>
      <w:r>
        <w:rPr>
          <w:rFonts w:hint="eastAsia" w:ascii="仿宋" w:hAnsi="仿宋" w:eastAsia="仿宋" w:cs="Times New Roman"/>
          <w:sz w:val="32"/>
          <w:szCs w:val="32"/>
          <w:highlight w:val="none"/>
          <w:lang w:bidi="ar"/>
        </w:rPr>
        <w:t>向</w:t>
      </w:r>
      <w:r>
        <w:rPr>
          <w:rFonts w:hint="eastAsia" w:ascii="仿宋" w:hAnsi="仿宋" w:eastAsia="仿宋" w:cs="Times New Roman"/>
          <w:sz w:val="32"/>
          <w:szCs w:val="32"/>
          <w:highlight w:val="none"/>
          <w:lang w:eastAsia="zh-CN" w:bidi="ar"/>
        </w:rPr>
        <w:t>上海清算所</w:t>
      </w:r>
      <w:r>
        <w:rPr>
          <w:rFonts w:hint="eastAsia" w:ascii="仿宋" w:hAnsi="仿宋" w:eastAsia="仿宋" w:cs="Times New Roman"/>
          <w:sz w:val="32"/>
          <w:szCs w:val="32"/>
          <w:highlight w:val="none"/>
          <w:lang w:bidi="ar"/>
        </w:rPr>
        <w:t>履行报告义务</w:t>
      </w:r>
      <w:r>
        <w:rPr>
          <w:rFonts w:hint="eastAsia" w:ascii="仿宋" w:hAnsi="仿宋" w:eastAsia="仿宋" w:cs="Times New Roman"/>
          <w:sz w:val="32"/>
          <w:szCs w:val="32"/>
          <w:highlight w:val="none"/>
          <w:lang w:eastAsia="zh-CN" w:bidi="ar"/>
        </w:rPr>
        <w:t>，</w:t>
      </w:r>
      <w:r>
        <w:rPr>
          <w:rFonts w:hint="eastAsia" w:ascii="仿宋" w:hAnsi="仿宋" w:eastAsia="仿宋" w:cs="Times New Roman"/>
          <w:sz w:val="32"/>
          <w:szCs w:val="32"/>
          <w:highlight w:val="none"/>
          <w:lang w:bidi="ar"/>
        </w:rPr>
        <w:t>报送</w:t>
      </w:r>
      <w:r>
        <w:rPr>
          <w:rFonts w:hint="eastAsia" w:ascii="仿宋" w:hAnsi="仿宋" w:eastAsia="仿宋" w:cs="Times New Roman"/>
          <w:sz w:val="32"/>
          <w:szCs w:val="32"/>
          <w:highlight w:val="none"/>
          <w:lang w:eastAsia="zh-CN" w:bidi="ar"/>
        </w:rPr>
        <w:t>其</w:t>
      </w:r>
      <w:r>
        <w:rPr>
          <w:rFonts w:hint="eastAsia" w:ascii="仿宋" w:hAnsi="仿宋" w:eastAsia="仿宋" w:cs="Times New Roman"/>
          <w:sz w:val="32"/>
          <w:szCs w:val="32"/>
          <w:highlight w:val="none"/>
          <w:lang w:bidi="ar"/>
        </w:rPr>
        <w:t>代表的</w:t>
      </w:r>
      <w:r>
        <w:rPr>
          <w:rFonts w:hint="eastAsia" w:ascii="仿宋" w:hAnsi="仿宋" w:eastAsia="仿宋" w:cs="Times New Roman"/>
          <w:sz w:val="32"/>
          <w:szCs w:val="32"/>
          <w:highlight w:val="none"/>
          <w:lang w:eastAsia="zh-CN" w:bidi="ar"/>
        </w:rPr>
        <w:t>二级托管账户持有人</w:t>
      </w:r>
      <w:r>
        <w:rPr>
          <w:rFonts w:hint="eastAsia" w:ascii="仿宋" w:hAnsi="仿宋" w:eastAsia="仿宋" w:cs="Times New Roman"/>
          <w:sz w:val="32"/>
          <w:szCs w:val="32"/>
          <w:highlight w:val="none"/>
          <w:lang w:bidi="ar"/>
        </w:rPr>
        <w:t>相关信息</w:t>
      </w:r>
      <w:r>
        <w:rPr>
          <w:rFonts w:hint="eastAsia" w:ascii="仿宋" w:hAnsi="仿宋" w:eastAsia="仿宋" w:cs="Times New Roman"/>
          <w:sz w:val="32"/>
          <w:szCs w:val="32"/>
          <w:highlight w:val="none"/>
          <w:lang w:eastAsia="zh-CN" w:bidi="ar"/>
        </w:rPr>
        <w:t>。因托管机构违法违规行为或未按照</w:t>
      </w:r>
      <w:r>
        <w:rPr>
          <w:rFonts w:hint="eastAsia" w:ascii="仿宋" w:hAnsi="仿宋" w:eastAsia="仿宋" w:cs="Times New Roman"/>
          <w:sz w:val="32"/>
          <w:szCs w:val="32"/>
          <w:highlight w:val="none"/>
          <w:lang w:bidi="ar"/>
        </w:rPr>
        <w:t>约定履行托管机构职责</w:t>
      </w:r>
      <w:r>
        <w:rPr>
          <w:rFonts w:hint="eastAsia" w:ascii="仿宋" w:hAnsi="仿宋" w:eastAsia="仿宋" w:cs="Times New Roman"/>
          <w:sz w:val="32"/>
          <w:szCs w:val="32"/>
          <w:highlight w:val="none"/>
          <w:lang w:eastAsia="zh-CN" w:bidi="ar"/>
        </w:rPr>
        <w:t>导致的</w:t>
      </w:r>
      <w:r>
        <w:rPr>
          <w:rFonts w:hint="eastAsia" w:ascii="仿宋" w:hAnsi="仿宋" w:eastAsia="仿宋" w:cs="Times New Roman"/>
          <w:sz w:val="32"/>
          <w:szCs w:val="32"/>
          <w:highlight w:val="none"/>
          <w:lang w:bidi="ar"/>
        </w:rPr>
        <w:t>法律后果，</w:t>
      </w:r>
      <w:r>
        <w:rPr>
          <w:rFonts w:hint="eastAsia" w:ascii="仿宋" w:hAnsi="仿宋" w:eastAsia="仿宋" w:cs="Times New Roman"/>
          <w:sz w:val="32"/>
          <w:szCs w:val="32"/>
          <w:highlight w:val="none"/>
          <w:lang w:eastAsia="zh-CN" w:bidi="ar"/>
        </w:rPr>
        <w:t>上海清算所</w:t>
      </w:r>
      <w:r>
        <w:rPr>
          <w:rFonts w:hint="eastAsia" w:ascii="仿宋" w:hAnsi="仿宋" w:eastAsia="仿宋" w:cs="Times New Roman"/>
          <w:sz w:val="32"/>
          <w:szCs w:val="32"/>
          <w:highlight w:val="none"/>
          <w:lang w:bidi="ar"/>
        </w:rPr>
        <w:t>不承担任何责任。</w:t>
      </w:r>
    </w:p>
    <w:p w14:paraId="4395A913">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hint="eastAsia" w:ascii="仿宋" w:hAnsi="仿宋" w:eastAsia="仿宋"/>
          <w:sz w:val="32"/>
          <w:szCs w:val="32"/>
          <w:highlight w:val="none"/>
          <w:lang w:val="en-GB"/>
        </w:rPr>
      </w:pPr>
      <w:r>
        <w:rPr>
          <w:rFonts w:hint="eastAsia" w:ascii="仿宋" w:hAnsi="仿宋" w:eastAsia="仿宋"/>
          <w:sz w:val="32"/>
          <w:szCs w:val="32"/>
          <w:highlight w:val="none"/>
          <w:lang w:val="en-GB"/>
        </w:rPr>
        <w:t>债券持有人向上海清算所申请开立债券账户时，应与上海清算所签署结算成员服务协议，并按照上海清算所有关规定提交开户材料。债券持有人及其代理人应保证所提交的开户材料真实、准确、完整。</w:t>
      </w:r>
    </w:p>
    <w:p w14:paraId="77F3C6CC">
      <w:pPr>
        <w:pStyle w:val="19"/>
        <w:pageBreakBefore w:val="0"/>
        <w:widowControl w:val="0"/>
        <w:numPr>
          <w:ilvl w:val="-1"/>
          <w:numId w:val="0"/>
        </w:numPr>
        <w:tabs>
          <w:tab w:val="left" w:pos="0"/>
          <w:tab w:val="left" w:pos="1985"/>
          <w:tab w:val="left" w:pos="2340"/>
        </w:tabs>
        <w:kinsoku/>
        <w:wordWrap/>
        <w:overflowPunct/>
        <w:topLinePunct w:val="0"/>
        <w:bidi w:val="0"/>
        <w:adjustRightInd w:val="0"/>
        <w:snapToGrid w:val="0"/>
        <w:spacing w:line="580" w:lineRule="exact"/>
        <w:ind w:left="0" w:firstLine="640" w:firstLineChars="200"/>
        <w:textAlignment w:val="auto"/>
        <w:rPr>
          <w:rFonts w:hint="eastAsia" w:ascii="仿宋" w:hAnsi="仿宋" w:eastAsia="仿宋"/>
          <w:sz w:val="32"/>
          <w:szCs w:val="32"/>
          <w:highlight w:val="none"/>
          <w:lang w:val="en-GB"/>
        </w:rPr>
      </w:pPr>
      <w:r>
        <w:rPr>
          <w:rFonts w:hint="eastAsia" w:ascii="仿宋" w:hAnsi="仿宋" w:eastAsia="仿宋"/>
          <w:sz w:val="32"/>
          <w:szCs w:val="32"/>
          <w:highlight w:val="none"/>
          <w:lang w:val="en-GB"/>
        </w:rPr>
        <w:t>债券持有人在上海清算所开立债券账户后，即成为上海清算所结算成员。</w:t>
      </w:r>
    </w:p>
    <w:p w14:paraId="506203F9">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hint="eastAsia" w:ascii="仿宋" w:hAnsi="仿宋" w:eastAsia="仿宋"/>
          <w:sz w:val="32"/>
          <w:szCs w:val="32"/>
          <w:highlight w:val="none"/>
          <w:lang w:val="en-GB"/>
        </w:rPr>
      </w:pPr>
      <w:r>
        <w:rPr>
          <w:rFonts w:hint="eastAsia" w:ascii="仿宋" w:hAnsi="仿宋" w:eastAsia="仿宋"/>
          <w:sz w:val="32"/>
          <w:szCs w:val="32"/>
          <w:highlight w:val="none"/>
          <w:lang w:val="en-GB"/>
        </w:rPr>
        <w:t>上海清算所结算成员分为直接结算成员和间接结算成员。</w:t>
      </w:r>
      <w:r>
        <w:rPr>
          <w:rFonts w:hint="eastAsia" w:ascii="仿宋" w:hAnsi="仿宋" w:eastAsia="仿宋"/>
          <w:sz w:val="32"/>
          <w:szCs w:val="32"/>
          <w:highlight w:val="none"/>
        </w:rPr>
        <w:t>直接结算成员指以自身名义开立债券账户、直接办理交易结算业务的债券持有人；间接结算成员指以自身名义开立债券账户、但交易结算业务通过结算代理人办理的债券持有人。</w:t>
      </w:r>
    </w:p>
    <w:p w14:paraId="55340A99">
      <w:pPr>
        <w:pageBreakBefore w:val="0"/>
        <w:widowControl w:val="0"/>
        <w:kinsoku/>
        <w:wordWrap/>
        <w:overflowPunct/>
        <w:topLinePunct w:val="0"/>
        <w:bidi w:val="0"/>
        <w:adjustRightInd w:val="0"/>
        <w:snapToGrid w:val="0"/>
        <w:spacing w:line="580" w:lineRule="exact"/>
        <w:ind w:firstLine="604" w:firstLineChars="189"/>
        <w:textAlignment w:val="auto"/>
        <w:rPr>
          <w:rFonts w:hint="eastAsia" w:ascii="仿宋" w:hAnsi="仿宋" w:eastAsia="仿宋"/>
          <w:bCs/>
          <w:sz w:val="32"/>
          <w:szCs w:val="32"/>
          <w:highlight w:val="none"/>
        </w:rPr>
      </w:pPr>
      <w:r>
        <w:rPr>
          <w:rFonts w:hint="eastAsia" w:ascii="仿宋" w:hAnsi="仿宋" w:eastAsia="仿宋"/>
          <w:bCs/>
          <w:sz w:val="32"/>
          <w:szCs w:val="32"/>
          <w:highlight w:val="none"/>
        </w:rPr>
        <w:t>结算代理人应按照中国人民银行关于债券结算代理的相关规定，</w:t>
      </w:r>
      <w:r>
        <w:rPr>
          <w:rFonts w:hint="eastAsia" w:ascii="仿宋" w:hAnsi="仿宋" w:eastAsia="仿宋"/>
          <w:sz w:val="32"/>
          <w:szCs w:val="32"/>
          <w:highlight w:val="none"/>
        </w:rPr>
        <w:t>与被代理的间接结算成员签订结算代理协议，</w:t>
      </w:r>
      <w:r>
        <w:rPr>
          <w:rFonts w:hint="eastAsia" w:ascii="仿宋" w:hAnsi="仿宋" w:eastAsia="仿宋"/>
          <w:bCs/>
          <w:sz w:val="32"/>
          <w:szCs w:val="32"/>
          <w:highlight w:val="none"/>
        </w:rPr>
        <w:t>代理间接结算成员办理债券登记托管、全额逐笔清算结算业务。</w:t>
      </w:r>
    </w:p>
    <w:p w14:paraId="0F11E6E4">
      <w:pPr>
        <w:pageBreakBefore w:val="0"/>
        <w:widowControl w:val="0"/>
        <w:kinsoku/>
        <w:wordWrap/>
        <w:overflowPunct/>
        <w:topLinePunct w:val="0"/>
        <w:bidi w:val="0"/>
        <w:adjustRightInd w:val="0"/>
        <w:snapToGrid w:val="0"/>
        <w:spacing w:line="580" w:lineRule="exact"/>
        <w:ind w:firstLine="604" w:firstLineChars="189"/>
        <w:textAlignment w:val="auto"/>
        <w:rPr>
          <w:rFonts w:hint="eastAsia" w:ascii="仿宋" w:hAnsi="仿宋" w:eastAsia="仿宋"/>
          <w:bCs/>
          <w:sz w:val="32"/>
          <w:szCs w:val="32"/>
          <w:highlight w:val="none"/>
          <w:lang w:val="en-GB"/>
        </w:rPr>
      </w:pPr>
      <w:r>
        <w:rPr>
          <w:rFonts w:hint="eastAsia" w:ascii="仿宋" w:hAnsi="仿宋" w:eastAsia="仿宋"/>
          <w:bCs/>
          <w:sz w:val="32"/>
          <w:szCs w:val="32"/>
          <w:highlight w:val="none"/>
        </w:rPr>
        <w:t>符合条件的境外机构投资者应当委托具有国际结算业务能力的银行间</w:t>
      </w:r>
      <w:r>
        <w:rPr>
          <w:rFonts w:hint="eastAsia" w:ascii="仿宋" w:hAnsi="仿宋" w:eastAsia="仿宋"/>
          <w:bCs/>
          <w:sz w:val="32"/>
          <w:szCs w:val="32"/>
          <w:highlight w:val="none"/>
          <w:lang w:eastAsia="zh-CN"/>
        </w:rPr>
        <w:t>债券</w:t>
      </w:r>
      <w:r>
        <w:rPr>
          <w:rFonts w:hint="eastAsia" w:ascii="仿宋" w:hAnsi="仿宋" w:eastAsia="仿宋"/>
          <w:bCs/>
          <w:sz w:val="32"/>
          <w:szCs w:val="32"/>
          <w:highlight w:val="none"/>
        </w:rPr>
        <w:t>市场结算代理人</w:t>
      </w:r>
      <w:r>
        <w:rPr>
          <w:rFonts w:hint="eastAsia" w:ascii="仿宋" w:hAnsi="仿宋" w:eastAsia="仿宋"/>
          <w:bCs/>
          <w:sz w:val="32"/>
          <w:szCs w:val="32"/>
          <w:highlight w:val="none"/>
          <w:lang w:eastAsia="zh-CN"/>
        </w:rPr>
        <w:t>办理</w:t>
      </w:r>
      <w:r>
        <w:rPr>
          <w:rFonts w:hint="eastAsia" w:ascii="仿宋" w:hAnsi="仿宋" w:eastAsia="仿宋"/>
          <w:bCs/>
          <w:sz w:val="32"/>
          <w:szCs w:val="32"/>
          <w:highlight w:val="none"/>
        </w:rPr>
        <w:t>交易结算</w:t>
      </w:r>
      <w:r>
        <w:rPr>
          <w:rFonts w:hint="eastAsia" w:ascii="仿宋" w:hAnsi="仿宋" w:eastAsia="仿宋"/>
          <w:bCs/>
          <w:sz w:val="32"/>
          <w:szCs w:val="32"/>
          <w:highlight w:val="none"/>
          <w:lang w:eastAsia="zh-CN"/>
        </w:rPr>
        <w:t>业务。</w:t>
      </w:r>
      <w:r>
        <w:rPr>
          <w:rFonts w:hint="eastAsia" w:ascii="仿宋" w:hAnsi="仿宋" w:eastAsia="仿宋"/>
          <w:bCs/>
          <w:sz w:val="32"/>
          <w:szCs w:val="32"/>
          <w:highlight w:val="none"/>
        </w:rPr>
        <w:t>中国人民银行另有规定的除外。</w:t>
      </w:r>
    </w:p>
    <w:p w14:paraId="034E18F1">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ascii="仿宋" w:hAnsi="仿宋" w:eastAsia="仿宋"/>
          <w:sz w:val="32"/>
          <w:szCs w:val="32"/>
          <w:highlight w:val="none"/>
          <w:lang w:val="en-GB"/>
        </w:rPr>
      </w:pPr>
      <w:r>
        <w:rPr>
          <w:rFonts w:hint="eastAsia" w:ascii="仿宋" w:hAnsi="仿宋" w:eastAsia="仿宋"/>
          <w:sz w:val="32"/>
          <w:szCs w:val="32"/>
          <w:highlight w:val="none"/>
          <w:lang w:val="en-GB"/>
        </w:rPr>
        <w:t>直接结算成员应配备风险控制与清算结算人员，相关业务人员应熟练掌握各项业务流程及日常操作</w:t>
      </w:r>
      <w:r>
        <w:rPr>
          <w:rFonts w:hint="eastAsia" w:ascii="仿宋" w:hAnsi="仿宋" w:eastAsia="仿宋"/>
          <w:sz w:val="32"/>
          <w:szCs w:val="32"/>
          <w:highlight w:val="none"/>
          <w:lang w:val="en-GB" w:eastAsia="zh-CN"/>
        </w:rPr>
        <w:t>，根据自身需求参加</w:t>
      </w:r>
      <w:r>
        <w:rPr>
          <w:rFonts w:hint="eastAsia" w:ascii="仿宋" w:hAnsi="仿宋" w:eastAsia="仿宋"/>
          <w:sz w:val="32"/>
          <w:szCs w:val="32"/>
          <w:highlight w:val="none"/>
          <w:lang w:val="en-GB"/>
        </w:rPr>
        <w:t>上海清算所业务培训。</w:t>
      </w:r>
    </w:p>
    <w:p w14:paraId="4618D284">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ascii="仿宋" w:hAnsi="仿宋" w:eastAsia="仿宋"/>
          <w:sz w:val="32"/>
          <w:szCs w:val="32"/>
          <w:highlight w:val="none"/>
          <w:lang w:val="en-GB"/>
        </w:rPr>
      </w:pPr>
      <w:r>
        <w:rPr>
          <w:rFonts w:hint="eastAsia" w:ascii="仿宋" w:hAnsi="仿宋" w:eastAsia="仿宋"/>
          <w:sz w:val="32"/>
          <w:szCs w:val="32"/>
          <w:highlight w:val="none"/>
          <w:lang w:val="en-GB"/>
        </w:rPr>
        <w:t>结算代理人应严格按照间接结算成员的书面授权或代理结算协议的约定，执行间接结算成员的指令。上海清算所根据结算代理人的指令，完成间接结算成员交易的结算处理。对结算代理人发送的代理结算指令，上海清算所均视为已获得间接结算成员同意。如因代理权限产生法律纠纷，结算代理人应</w:t>
      </w:r>
      <w:r>
        <w:rPr>
          <w:rFonts w:hint="eastAsia" w:ascii="仿宋" w:hAnsi="仿宋" w:eastAsia="仿宋"/>
          <w:sz w:val="32"/>
          <w:szCs w:val="32"/>
          <w:highlight w:val="none"/>
          <w:lang w:val="en-GB" w:eastAsia="zh-CN"/>
        </w:rPr>
        <w:t>自行</w:t>
      </w:r>
      <w:r>
        <w:rPr>
          <w:rFonts w:hint="eastAsia" w:ascii="仿宋" w:hAnsi="仿宋" w:eastAsia="仿宋"/>
          <w:sz w:val="32"/>
          <w:szCs w:val="32"/>
          <w:highlight w:val="none"/>
          <w:lang w:val="en-GB"/>
        </w:rPr>
        <w:t>承担所有责任。</w:t>
      </w:r>
    </w:p>
    <w:p w14:paraId="7B38DD51">
      <w:pPr>
        <w:pageBreakBefore w:val="0"/>
        <w:widowControl w:val="0"/>
        <w:kinsoku/>
        <w:wordWrap/>
        <w:overflowPunct/>
        <w:topLinePunct w:val="0"/>
        <w:autoSpaceDE w:val="0"/>
        <w:autoSpaceDN w:val="0"/>
        <w:bidi w:val="0"/>
        <w:adjustRightInd w:val="0"/>
        <w:snapToGrid w:val="0"/>
        <w:spacing w:line="580" w:lineRule="exact"/>
        <w:ind w:firstLine="604" w:firstLineChars="189"/>
        <w:textAlignment w:val="auto"/>
        <w:rPr>
          <w:rFonts w:hint="eastAsia" w:ascii="仿宋" w:hAnsi="仿宋" w:eastAsia="仿宋"/>
          <w:bCs/>
          <w:sz w:val="32"/>
          <w:szCs w:val="32"/>
          <w:highlight w:val="none"/>
        </w:rPr>
      </w:pPr>
      <w:r>
        <w:rPr>
          <w:rFonts w:hint="eastAsia" w:ascii="仿宋" w:hAnsi="仿宋" w:eastAsia="仿宋"/>
          <w:bCs/>
          <w:sz w:val="32"/>
          <w:szCs w:val="32"/>
          <w:highlight w:val="none"/>
        </w:rPr>
        <w:t>间接结算成员</w:t>
      </w:r>
      <w:r>
        <w:rPr>
          <w:rFonts w:hint="eastAsia" w:ascii="仿宋" w:hAnsi="仿宋" w:eastAsia="仿宋"/>
          <w:sz w:val="32"/>
          <w:szCs w:val="32"/>
          <w:highlight w:val="none"/>
          <w:lang w:val="zh-CN"/>
        </w:rPr>
        <w:t>可通过其结算代理人或上海清算所相关系统查询其债券账户的余额及变动情况</w:t>
      </w:r>
      <w:r>
        <w:rPr>
          <w:rFonts w:hint="eastAsia" w:ascii="仿宋" w:hAnsi="仿宋" w:eastAsia="仿宋"/>
          <w:bCs/>
          <w:sz w:val="32"/>
          <w:szCs w:val="32"/>
          <w:highlight w:val="none"/>
        </w:rPr>
        <w:t>，并有权向结算代理人索取相关</w:t>
      </w:r>
      <w:r>
        <w:rPr>
          <w:rFonts w:hint="eastAsia" w:ascii="仿宋" w:hAnsi="仿宋" w:eastAsia="仿宋"/>
          <w:bCs/>
          <w:sz w:val="32"/>
          <w:szCs w:val="32"/>
          <w:highlight w:val="none"/>
          <w:lang w:eastAsia="zh-CN"/>
        </w:rPr>
        <w:t>业务单据</w:t>
      </w:r>
      <w:r>
        <w:rPr>
          <w:rFonts w:hint="eastAsia" w:ascii="仿宋" w:hAnsi="仿宋" w:eastAsia="仿宋"/>
          <w:bCs/>
          <w:sz w:val="32"/>
          <w:szCs w:val="32"/>
          <w:highlight w:val="none"/>
        </w:rPr>
        <w:t>。</w:t>
      </w:r>
    </w:p>
    <w:p w14:paraId="52C87353">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ascii="仿宋" w:hAnsi="仿宋" w:eastAsia="仿宋"/>
          <w:sz w:val="32"/>
          <w:szCs w:val="32"/>
          <w:highlight w:val="none"/>
          <w:lang w:val="en-GB"/>
        </w:rPr>
      </w:pPr>
      <w:r>
        <w:rPr>
          <w:rFonts w:hint="eastAsia" w:ascii="仿宋" w:hAnsi="仿宋" w:eastAsia="仿宋"/>
          <w:sz w:val="32"/>
          <w:szCs w:val="32"/>
          <w:highlight w:val="none"/>
          <w:lang w:val="en-GB" w:eastAsia="zh-CN"/>
        </w:rPr>
        <w:t>债券账户相关信息发生变动，</w:t>
      </w:r>
      <w:r>
        <w:rPr>
          <w:rFonts w:hint="eastAsia" w:ascii="仿宋" w:hAnsi="仿宋" w:eastAsia="仿宋"/>
          <w:sz w:val="32"/>
          <w:szCs w:val="32"/>
          <w:highlight w:val="none"/>
          <w:lang w:val="en-GB"/>
        </w:rPr>
        <w:t>债券持有人</w:t>
      </w:r>
      <w:r>
        <w:rPr>
          <w:rFonts w:hint="eastAsia" w:ascii="仿宋" w:hAnsi="仿宋" w:eastAsia="仿宋"/>
          <w:sz w:val="32"/>
          <w:szCs w:val="32"/>
          <w:highlight w:val="none"/>
          <w:lang w:val="en-GB" w:eastAsia="zh-CN"/>
        </w:rPr>
        <w:t>应按照上海清算所有关规定提交账户变更相关资料，完成变更手续。需</w:t>
      </w:r>
      <w:r>
        <w:rPr>
          <w:rFonts w:hint="eastAsia" w:ascii="仿宋" w:hAnsi="仿宋" w:eastAsia="仿宋"/>
          <w:sz w:val="32"/>
          <w:szCs w:val="32"/>
          <w:highlight w:val="none"/>
          <w:lang w:val="en-GB"/>
        </w:rPr>
        <w:t>按照中国人民银行准入备案管理有关规定办理</w:t>
      </w:r>
      <w:r>
        <w:rPr>
          <w:rFonts w:hint="eastAsia" w:ascii="仿宋" w:hAnsi="仿宋" w:eastAsia="仿宋"/>
          <w:sz w:val="32"/>
          <w:szCs w:val="32"/>
          <w:highlight w:val="none"/>
          <w:lang w:val="en-GB" w:eastAsia="zh-CN"/>
        </w:rPr>
        <w:t>备案</w:t>
      </w:r>
      <w:r>
        <w:rPr>
          <w:rFonts w:hint="eastAsia" w:ascii="仿宋" w:hAnsi="仿宋" w:eastAsia="仿宋"/>
          <w:sz w:val="32"/>
          <w:szCs w:val="32"/>
          <w:highlight w:val="none"/>
          <w:lang w:val="en-GB"/>
        </w:rPr>
        <w:t>相关手续</w:t>
      </w:r>
      <w:r>
        <w:rPr>
          <w:rFonts w:hint="eastAsia" w:ascii="仿宋" w:hAnsi="仿宋" w:eastAsia="仿宋"/>
          <w:sz w:val="32"/>
          <w:szCs w:val="32"/>
          <w:highlight w:val="none"/>
          <w:lang w:val="en-GB" w:eastAsia="zh-CN"/>
        </w:rPr>
        <w:t>的</w:t>
      </w:r>
      <w:r>
        <w:rPr>
          <w:rFonts w:hint="eastAsia" w:ascii="仿宋" w:hAnsi="仿宋" w:eastAsia="仿宋"/>
          <w:sz w:val="32"/>
          <w:szCs w:val="32"/>
          <w:highlight w:val="none"/>
          <w:lang w:val="en-GB"/>
        </w:rPr>
        <w:t>，</w:t>
      </w:r>
      <w:r>
        <w:rPr>
          <w:rFonts w:hint="eastAsia" w:ascii="仿宋" w:hAnsi="仿宋" w:eastAsia="仿宋"/>
          <w:sz w:val="32"/>
          <w:szCs w:val="32"/>
          <w:highlight w:val="none"/>
          <w:lang w:val="en-GB" w:eastAsia="zh-CN"/>
        </w:rPr>
        <w:t>应在</w:t>
      </w:r>
      <w:r>
        <w:rPr>
          <w:rFonts w:hint="eastAsia" w:ascii="仿宋" w:hAnsi="仿宋" w:eastAsia="仿宋"/>
          <w:sz w:val="32"/>
          <w:szCs w:val="32"/>
          <w:highlight w:val="none"/>
          <w:lang w:val="en-GB"/>
        </w:rPr>
        <w:t>备案完成后向上海清算所申请办理债券账户变更手续。</w:t>
      </w:r>
    </w:p>
    <w:p w14:paraId="79F24E27">
      <w:pPr>
        <w:pStyle w:val="19"/>
        <w:pageBreakBefore w:val="0"/>
        <w:widowControl w:val="0"/>
        <w:tabs>
          <w:tab w:val="left" w:pos="0"/>
          <w:tab w:val="left" w:pos="1985"/>
          <w:tab w:val="left" w:pos="2340"/>
        </w:tabs>
        <w:kinsoku/>
        <w:wordWrap/>
        <w:overflowPunct/>
        <w:topLinePunct w:val="0"/>
        <w:bidi w:val="0"/>
        <w:adjustRightInd w:val="0"/>
        <w:snapToGrid w:val="0"/>
        <w:spacing w:line="580" w:lineRule="exact"/>
        <w:ind w:firstLine="640" w:firstLineChars="200"/>
        <w:textAlignment w:val="auto"/>
        <w:rPr>
          <w:rFonts w:ascii="仿宋" w:hAnsi="仿宋" w:eastAsia="仿宋"/>
          <w:sz w:val="32"/>
          <w:szCs w:val="32"/>
          <w:highlight w:val="none"/>
          <w:lang w:val="en-GB"/>
        </w:rPr>
      </w:pPr>
      <w:r>
        <w:rPr>
          <w:rFonts w:hint="eastAsia" w:ascii="仿宋" w:hAnsi="仿宋" w:eastAsia="仿宋"/>
          <w:sz w:val="32"/>
          <w:szCs w:val="32"/>
          <w:highlight w:val="none"/>
          <w:lang w:val="en-GB"/>
        </w:rPr>
        <w:t>变更债券账户名称</w:t>
      </w:r>
      <w:r>
        <w:rPr>
          <w:rFonts w:hint="eastAsia" w:ascii="仿宋" w:hAnsi="仿宋" w:eastAsia="仿宋"/>
          <w:sz w:val="32"/>
          <w:szCs w:val="32"/>
          <w:highlight w:val="none"/>
          <w:lang w:val="en-GB" w:eastAsia="zh-CN"/>
        </w:rPr>
        <w:t>的</w:t>
      </w:r>
      <w:r>
        <w:rPr>
          <w:rFonts w:hint="eastAsia" w:ascii="仿宋" w:hAnsi="仿宋" w:eastAsia="仿宋"/>
          <w:sz w:val="32"/>
          <w:szCs w:val="32"/>
          <w:highlight w:val="none"/>
          <w:lang w:val="en-GB"/>
        </w:rPr>
        <w:t>，原债券账户内登记的债权债务由更名后的债券持有人承继。</w:t>
      </w:r>
    </w:p>
    <w:p w14:paraId="6FC1E148">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ascii="仿宋" w:hAnsi="仿宋" w:eastAsia="仿宋"/>
          <w:sz w:val="32"/>
          <w:szCs w:val="32"/>
          <w:highlight w:val="none"/>
          <w:lang w:val="en-GB"/>
        </w:rPr>
      </w:pPr>
      <w:r>
        <w:rPr>
          <w:rFonts w:hint="eastAsia" w:ascii="仿宋" w:hAnsi="仿宋" w:eastAsia="仿宋" w:cs="Times New Roman"/>
          <w:sz w:val="32"/>
          <w:szCs w:val="32"/>
          <w:highlight w:val="none"/>
          <w:lang w:val="en-GB" w:eastAsia="zh-CN"/>
        </w:rPr>
        <w:t>债券账户存续期间，</w:t>
      </w:r>
      <w:r>
        <w:rPr>
          <w:rFonts w:hint="eastAsia" w:ascii="仿宋" w:hAnsi="仿宋" w:eastAsia="仿宋" w:cs="Times New Roman"/>
          <w:sz w:val="32"/>
          <w:szCs w:val="32"/>
          <w:highlight w:val="none"/>
          <w:lang w:val="en-GB"/>
        </w:rPr>
        <w:t>债券持有人</w:t>
      </w:r>
      <w:r>
        <w:rPr>
          <w:rFonts w:hint="eastAsia" w:ascii="仿宋" w:hAnsi="仿宋" w:eastAsia="仿宋" w:cs="Times New Roman"/>
          <w:sz w:val="32"/>
          <w:szCs w:val="32"/>
          <w:highlight w:val="none"/>
          <w:lang w:val="en-GB" w:eastAsia="zh-CN"/>
        </w:rPr>
        <w:t>应</w:t>
      </w:r>
      <w:r>
        <w:rPr>
          <w:rFonts w:hint="eastAsia" w:ascii="仿宋" w:hAnsi="仿宋" w:eastAsia="仿宋" w:cs="Times New Roman"/>
          <w:sz w:val="32"/>
          <w:szCs w:val="32"/>
          <w:highlight w:val="none"/>
          <w:lang w:val="en-GB"/>
        </w:rPr>
        <w:t>如实</w:t>
      </w:r>
      <w:r>
        <w:rPr>
          <w:rFonts w:hint="eastAsia" w:ascii="仿宋" w:hAnsi="仿宋" w:eastAsia="仿宋" w:cs="Times New Roman"/>
          <w:sz w:val="32"/>
          <w:szCs w:val="32"/>
          <w:highlight w:val="none"/>
          <w:lang w:val="en-GB" w:eastAsia="zh-CN"/>
        </w:rPr>
        <w:t>向上海清算所</w:t>
      </w:r>
      <w:r>
        <w:rPr>
          <w:rFonts w:hint="eastAsia" w:ascii="仿宋" w:hAnsi="仿宋" w:eastAsia="仿宋" w:cs="Times New Roman"/>
          <w:sz w:val="32"/>
          <w:szCs w:val="32"/>
          <w:highlight w:val="none"/>
          <w:lang w:val="en-GB"/>
        </w:rPr>
        <w:t>提交</w:t>
      </w:r>
      <w:r>
        <w:rPr>
          <w:rFonts w:hint="eastAsia" w:ascii="仿宋" w:hAnsi="仿宋" w:eastAsia="仿宋" w:cs="Times New Roman"/>
          <w:sz w:val="32"/>
          <w:szCs w:val="32"/>
          <w:highlight w:val="none"/>
          <w:lang w:val="en-GB" w:eastAsia="zh-CN"/>
        </w:rPr>
        <w:t>监管机构</w:t>
      </w:r>
      <w:r>
        <w:rPr>
          <w:rFonts w:hint="eastAsia" w:ascii="仿宋" w:hAnsi="仿宋" w:eastAsia="仿宋" w:cs="Times New Roman"/>
          <w:sz w:val="32"/>
          <w:szCs w:val="32"/>
          <w:highlight w:val="none"/>
          <w:lang w:val="en-GB"/>
        </w:rPr>
        <w:t>要求</w:t>
      </w:r>
      <w:r>
        <w:rPr>
          <w:rFonts w:hint="eastAsia" w:ascii="仿宋" w:hAnsi="仿宋" w:eastAsia="仿宋" w:cs="Times New Roman"/>
          <w:sz w:val="32"/>
          <w:szCs w:val="32"/>
          <w:highlight w:val="none"/>
          <w:lang w:val="en-GB" w:eastAsia="zh-CN"/>
        </w:rPr>
        <w:t>的各项</w:t>
      </w:r>
      <w:r>
        <w:rPr>
          <w:rFonts w:hint="eastAsia" w:ascii="仿宋" w:hAnsi="仿宋" w:eastAsia="仿宋" w:cs="Times New Roman"/>
          <w:sz w:val="32"/>
          <w:szCs w:val="32"/>
          <w:highlight w:val="none"/>
          <w:lang w:val="en-GB"/>
        </w:rPr>
        <w:t>信息</w:t>
      </w:r>
      <w:r>
        <w:rPr>
          <w:rFonts w:hint="eastAsia" w:ascii="仿宋" w:hAnsi="仿宋" w:eastAsia="仿宋" w:cs="Times New Roman"/>
          <w:sz w:val="32"/>
          <w:szCs w:val="32"/>
          <w:highlight w:val="none"/>
          <w:lang w:val="en-GB" w:eastAsia="zh-CN"/>
        </w:rPr>
        <w:t>，</w:t>
      </w:r>
      <w:r>
        <w:rPr>
          <w:rFonts w:hint="eastAsia" w:ascii="仿宋" w:hAnsi="仿宋" w:eastAsia="仿宋" w:cs="Times New Roman"/>
          <w:sz w:val="32"/>
          <w:szCs w:val="32"/>
          <w:highlight w:val="none"/>
          <w:lang w:val="en-GB"/>
        </w:rPr>
        <w:t>及时报告</w:t>
      </w:r>
      <w:r>
        <w:rPr>
          <w:rFonts w:hint="eastAsia" w:ascii="仿宋" w:hAnsi="仿宋" w:eastAsia="仿宋" w:cs="Times New Roman"/>
          <w:sz w:val="32"/>
          <w:szCs w:val="32"/>
          <w:highlight w:val="none"/>
          <w:lang w:val="en-GB" w:eastAsia="zh-CN"/>
        </w:rPr>
        <w:t>受到监管处罚、自律处分以及其他</w:t>
      </w:r>
      <w:r>
        <w:rPr>
          <w:rFonts w:hint="eastAsia" w:ascii="仿宋" w:hAnsi="仿宋" w:eastAsia="仿宋" w:cs="Times New Roman"/>
          <w:sz w:val="32"/>
          <w:szCs w:val="32"/>
          <w:highlight w:val="none"/>
          <w:lang w:val="en-GB"/>
        </w:rPr>
        <w:t>发生或可能发生影响其履行</w:t>
      </w:r>
      <w:r>
        <w:rPr>
          <w:rFonts w:hint="eastAsia" w:ascii="仿宋" w:hAnsi="仿宋" w:eastAsia="仿宋" w:cs="Times New Roman"/>
          <w:sz w:val="32"/>
          <w:szCs w:val="32"/>
          <w:highlight w:val="none"/>
          <w:lang w:val="en-GB" w:eastAsia="zh-CN"/>
        </w:rPr>
        <w:t>结算成员</w:t>
      </w:r>
      <w:r>
        <w:rPr>
          <w:rFonts w:hint="eastAsia" w:ascii="仿宋" w:hAnsi="仿宋" w:eastAsia="仿宋" w:cs="Times New Roman"/>
          <w:sz w:val="32"/>
          <w:szCs w:val="32"/>
          <w:highlight w:val="none"/>
          <w:lang w:val="en-GB"/>
        </w:rPr>
        <w:t>义务的重大事项并提供相关的书面证明材料</w:t>
      </w:r>
      <w:r>
        <w:rPr>
          <w:rFonts w:hint="eastAsia" w:ascii="仿宋" w:hAnsi="仿宋" w:eastAsia="仿宋" w:cs="Times New Roman"/>
          <w:sz w:val="32"/>
          <w:szCs w:val="32"/>
          <w:highlight w:val="none"/>
          <w:lang w:val="en-GB" w:eastAsia="zh-CN"/>
        </w:rPr>
        <w:t>。</w:t>
      </w:r>
      <w:r>
        <w:rPr>
          <w:rFonts w:hint="eastAsia" w:ascii="仿宋" w:hAnsi="仿宋" w:eastAsia="仿宋" w:cs="Times New Roman"/>
          <w:sz w:val="32"/>
          <w:szCs w:val="32"/>
          <w:highlight w:val="none"/>
          <w:lang w:val="en-GB"/>
        </w:rPr>
        <w:t>债券持有人</w:t>
      </w:r>
      <w:r>
        <w:rPr>
          <w:rFonts w:hint="eastAsia" w:ascii="仿宋" w:hAnsi="仿宋" w:eastAsia="仿宋" w:cs="Times New Roman"/>
          <w:sz w:val="32"/>
          <w:szCs w:val="32"/>
          <w:highlight w:val="none"/>
          <w:lang w:val="en-GB" w:eastAsia="zh-CN"/>
        </w:rPr>
        <w:t>未及时、准确报送上述信息的，上海清算所不承担任何责任。</w:t>
      </w:r>
    </w:p>
    <w:p w14:paraId="28A0E3CE">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hint="eastAsia" w:ascii="仿宋" w:hAnsi="仿宋" w:eastAsia="仿宋"/>
          <w:sz w:val="32"/>
          <w:szCs w:val="32"/>
          <w:highlight w:val="none"/>
          <w:lang w:val="en-GB"/>
        </w:rPr>
      </w:pPr>
      <w:r>
        <w:rPr>
          <w:rFonts w:hint="eastAsia" w:ascii="仿宋" w:hAnsi="仿宋" w:eastAsia="仿宋"/>
          <w:sz w:val="32"/>
          <w:szCs w:val="32"/>
          <w:highlight w:val="none"/>
          <w:lang w:val="en-GB"/>
        </w:rPr>
        <w:t>债券持有人</w:t>
      </w:r>
      <w:r>
        <w:rPr>
          <w:rFonts w:ascii="仿宋" w:hAnsi="仿宋" w:eastAsia="仿宋"/>
          <w:sz w:val="32"/>
          <w:szCs w:val="32"/>
          <w:highlight w:val="none"/>
          <w:lang w:val="en-GB"/>
        </w:rPr>
        <w:t>可申请注销</w:t>
      </w:r>
      <w:r>
        <w:rPr>
          <w:rFonts w:hint="eastAsia" w:ascii="仿宋" w:hAnsi="仿宋" w:eastAsia="仿宋"/>
          <w:sz w:val="32"/>
          <w:szCs w:val="32"/>
          <w:highlight w:val="none"/>
          <w:lang w:val="en-GB"/>
        </w:rPr>
        <w:t>债券账户</w:t>
      </w:r>
      <w:r>
        <w:rPr>
          <w:rFonts w:ascii="仿宋" w:hAnsi="仿宋" w:eastAsia="仿宋"/>
          <w:sz w:val="32"/>
          <w:szCs w:val="32"/>
          <w:highlight w:val="none"/>
          <w:lang w:val="en-GB"/>
        </w:rPr>
        <w:t>。申请注销时，</w:t>
      </w:r>
      <w:r>
        <w:rPr>
          <w:rFonts w:hint="eastAsia" w:ascii="仿宋" w:hAnsi="仿宋" w:eastAsia="仿宋"/>
          <w:sz w:val="32"/>
          <w:szCs w:val="32"/>
          <w:highlight w:val="none"/>
          <w:lang w:val="en-GB"/>
        </w:rPr>
        <w:t>上海清算所在</w:t>
      </w:r>
      <w:r>
        <w:rPr>
          <w:rFonts w:hint="eastAsia" w:ascii="仿宋" w:hAnsi="仿宋" w:eastAsia="仿宋"/>
          <w:sz w:val="32"/>
          <w:szCs w:val="32"/>
          <w:highlight w:val="none"/>
          <w:lang w:val="en-GB" w:eastAsia="zh-CN"/>
        </w:rPr>
        <w:t>确认该</w:t>
      </w:r>
      <w:r>
        <w:rPr>
          <w:rFonts w:hint="eastAsia" w:ascii="仿宋" w:hAnsi="仿宋" w:eastAsia="仿宋"/>
          <w:sz w:val="32"/>
          <w:szCs w:val="32"/>
          <w:highlight w:val="none"/>
          <w:lang w:val="en-GB"/>
        </w:rPr>
        <w:t>债券账户余额为零，且无未了结的债权债务和未结清费用后，</w:t>
      </w:r>
      <w:r>
        <w:rPr>
          <w:rFonts w:ascii="仿宋" w:hAnsi="仿宋" w:eastAsia="仿宋"/>
          <w:sz w:val="32"/>
          <w:szCs w:val="32"/>
          <w:highlight w:val="none"/>
          <w:lang w:val="en-GB"/>
        </w:rPr>
        <w:t>办理</w:t>
      </w:r>
      <w:r>
        <w:rPr>
          <w:rFonts w:hint="eastAsia" w:ascii="仿宋" w:hAnsi="仿宋" w:eastAsia="仿宋"/>
          <w:sz w:val="32"/>
          <w:szCs w:val="32"/>
          <w:highlight w:val="none"/>
          <w:lang w:val="en-GB"/>
        </w:rPr>
        <w:t>债券账户注销手续</w:t>
      </w:r>
      <w:r>
        <w:rPr>
          <w:rFonts w:ascii="仿宋" w:hAnsi="仿宋" w:eastAsia="仿宋"/>
          <w:sz w:val="32"/>
          <w:szCs w:val="32"/>
          <w:highlight w:val="none"/>
          <w:lang w:val="en-GB"/>
        </w:rPr>
        <w:t>。</w:t>
      </w:r>
    </w:p>
    <w:p w14:paraId="4C59EBDC">
      <w:pPr>
        <w:pStyle w:val="19"/>
        <w:pageBreakBefore w:val="0"/>
        <w:widowControl w:val="0"/>
        <w:tabs>
          <w:tab w:val="left" w:pos="0"/>
          <w:tab w:val="left" w:pos="1985"/>
          <w:tab w:val="left" w:pos="2340"/>
        </w:tabs>
        <w:kinsoku/>
        <w:wordWrap/>
        <w:overflowPunct/>
        <w:topLinePunct w:val="0"/>
        <w:bidi w:val="0"/>
        <w:adjustRightInd w:val="0"/>
        <w:snapToGrid w:val="0"/>
        <w:spacing w:line="580" w:lineRule="exact"/>
        <w:ind w:firstLine="640" w:firstLineChars="200"/>
        <w:textAlignment w:val="auto"/>
        <w:rPr>
          <w:rFonts w:hint="eastAsia" w:ascii="仿宋" w:hAnsi="仿宋" w:eastAsia="仿宋"/>
          <w:sz w:val="32"/>
          <w:szCs w:val="32"/>
          <w:highlight w:val="none"/>
          <w:lang w:val="en-GB"/>
        </w:rPr>
      </w:pPr>
      <w:r>
        <w:rPr>
          <w:rFonts w:hint="eastAsia" w:ascii="仿宋" w:hAnsi="仿宋" w:eastAsia="仿宋"/>
          <w:sz w:val="32"/>
          <w:szCs w:val="32"/>
          <w:highlight w:val="none"/>
          <w:lang w:val="en-GB"/>
        </w:rPr>
        <w:t>非法人机构投资者</w:t>
      </w:r>
      <w:r>
        <w:rPr>
          <w:rFonts w:hint="eastAsia" w:ascii="仿宋" w:hAnsi="仿宋" w:eastAsia="仿宋"/>
          <w:sz w:val="32"/>
          <w:szCs w:val="32"/>
          <w:highlight w:val="none"/>
          <w:lang w:val="en-GB" w:eastAsia="zh-CN"/>
        </w:rPr>
        <w:t>对应产品</w:t>
      </w:r>
      <w:r>
        <w:rPr>
          <w:rFonts w:hint="eastAsia" w:ascii="仿宋" w:hAnsi="仿宋" w:eastAsia="仿宋"/>
          <w:sz w:val="32"/>
          <w:szCs w:val="32"/>
          <w:highlight w:val="none"/>
          <w:lang w:val="en-GB"/>
        </w:rPr>
        <w:t>到期后一个月内未主动办理</w:t>
      </w:r>
      <w:r>
        <w:rPr>
          <w:rFonts w:hint="eastAsia" w:ascii="仿宋" w:hAnsi="仿宋" w:eastAsia="仿宋"/>
          <w:sz w:val="32"/>
          <w:szCs w:val="32"/>
          <w:highlight w:val="none"/>
          <w:lang w:val="en-GB" w:eastAsia="zh-CN"/>
        </w:rPr>
        <w:t>债券</w:t>
      </w:r>
      <w:r>
        <w:rPr>
          <w:rFonts w:hint="eastAsia" w:ascii="仿宋" w:hAnsi="仿宋" w:eastAsia="仿宋"/>
          <w:sz w:val="32"/>
          <w:szCs w:val="32"/>
          <w:highlight w:val="none"/>
          <w:lang w:val="en-GB"/>
        </w:rPr>
        <w:t>账户注销手续的，上海清算所在确认其债券账户</w:t>
      </w:r>
      <w:r>
        <w:rPr>
          <w:rFonts w:hint="eastAsia" w:ascii="仿宋" w:hAnsi="仿宋" w:eastAsia="仿宋"/>
          <w:sz w:val="32"/>
          <w:szCs w:val="32"/>
          <w:highlight w:val="none"/>
          <w:lang w:val="en-GB" w:eastAsia="zh-CN"/>
        </w:rPr>
        <w:t>满足销户条件</w:t>
      </w:r>
      <w:r>
        <w:rPr>
          <w:rFonts w:hint="eastAsia" w:ascii="仿宋" w:hAnsi="仿宋" w:eastAsia="仿宋"/>
          <w:sz w:val="32"/>
          <w:szCs w:val="32"/>
          <w:highlight w:val="none"/>
          <w:lang w:val="en-GB"/>
        </w:rPr>
        <w:t>后，</w:t>
      </w:r>
      <w:r>
        <w:rPr>
          <w:rFonts w:hint="eastAsia" w:ascii="仿宋" w:hAnsi="仿宋" w:eastAsia="仿宋"/>
          <w:sz w:val="32"/>
          <w:szCs w:val="32"/>
          <w:highlight w:val="none"/>
          <w:lang w:val="en-GB" w:eastAsia="zh-CN"/>
        </w:rPr>
        <w:t>可直接注销其债券</w:t>
      </w:r>
      <w:r>
        <w:rPr>
          <w:rFonts w:hint="eastAsia" w:ascii="仿宋" w:hAnsi="仿宋" w:eastAsia="仿宋"/>
          <w:sz w:val="32"/>
          <w:szCs w:val="32"/>
          <w:highlight w:val="none"/>
          <w:lang w:val="en-GB"/>
        </w:rPr>
        <w:t>账户；如债券账户</w:t>
      </w:r>
      <w:r>
        <w:rPr>
          <w:rFonts w:hint="eastAsia" w:ascii="仿宋" w:hAnsi="仿宋" w:eastAsia="仿宋"/>
          <w:sz w:val="32"/>
          <w:szCs w:val="32"/>
          <w:highlight w:val="none"/>
          <w:lang w:val="en-GB" w:eastAsia="zh-CN"/>
        </w:rPr>
        <w:t>不满足销户条件</w:t>
      </w:r>
      <w:r>
        <w:rPr>
          <w:rFonts w:hint="eastAsia" w:ascii="仿宋" w:hAnsi="仿宋" w:eastAsia="仿宋"/>
          <w:sz w:val="32"/>
          <w:szCs w:val="32"/>
          <w:highlight w:val="none"/>
          <w:lang w:val="en-GB"/>
        </w:rPr>
        <w:t>的，上海清算所</w:t>
      </w:r>
      <w:r>
        <w:rPr>
          <w:rFonts w:hint="eastAsia" w:ascii="仿宋" w:hAnsi="仿宋" w:eastAsia="仿宋"/>
          <w:sz w:val="32"/>
          <w:szCs w:val="32"/>
          <w:highlight w:val="none"/>
          <w:lang w:val="en-GB" w:eastAsia="zh-CN"/>
        </w:rPr>
        <w:t>可</w:t>
      </w:r>
      <w:r>
        <w:rPr>
          <w:rFonts w:hint="eastAsia" w:ascii="仿宋" w:hAnsi="仿宋" w:eastAsia="仿宋"/>
          <w:sz w:val="32"/>
          <w:szCs w:val="32"/>
          <w:highlight w:val="none"/>
          <w:lang w:val="en-GB"/>
        </w:rPr>
        <w:t>对该</w:t>
      </w:r>
      <w:r>
        <w:rPr>
          <w:rFonts w:hint="eastAsia" w:ascii="仿宋" w:hAnsi="仿宋" w:eastAsia="仿宋"/>
          <w:sz w:val="32"/>
          <w:szCs w:val="32"/>
          <w:highlight w:val="none"/>
          <w:lang w:val="en-GB" w:eastAsia="zh-CN"/>
        </w:rPr>
        <w:t>债券</w:t>
      </w:r>
      <w:r>
        <w:rPr>
          <w:rFonts w:hint="eastAsia" w:ascii="仿宋" w:hAnsi="仿宋" w:eastAsia="仿宋"/>
          <w:sz w:val="32"/>
          <w:szCs w:val="32"/>
          <w:highlight w:val="none"/>
          <w:lang w:val="en-GB"/>
        </w:rPr>
        <w:t>账户进行限制</w:t>
      </w:r>
      <w:r>
        <w:rPr>
          <w:rFonts w:hint="eastAsia" w:ascii="仿宋" w:hAnsi="仿宋" w:eastAsia="仿宋"/>
          <w:sz w:val="32"/>
          <w:szCs w:val="32"/>
          <w:highlight w:val="none"/>
          <w:lang w:val="en-GB" w:eastAsia="zh-CN"/>
        </w:rPr>
        <w:t>业务操作权限</w:t>
      </w:r>
      <w:r>
        <w:rPr>
          <w:rFonts w:hint="eastAsia" w:ascii="仿宋" w:hAnsi="仿宋" w:eastAsia="仿宋"/>
          <w:sz w:val="32"/>
          <w:szCs w:val="32"/>
          <w:highlight w:val="none"/>
          <w:lang w:val="en-GB"/>
        </w:rPr>
        <w:t>处理</w:t>
      </w:r>
      <w:r>
        <w:rPr>
          <w:rFonts w:hint="eastAsia" w:ascii="仿宋" w:hAnsi="仿宋" w:eastAsia="仿宋"/>
          <w:sz w:val="32"/>
          <w:szCs w:val="32"/>
          <w:highlight w:val="none"/>
          <w:lang w:val="en-GB" w:eastAsia="zh-CN"/>
        </w:rPr>
        <w:t>。</w:t>
      </w:r>
    </w:p>
    <w:p w14:paraId="731C2392">
      <w:pPr>
        <w:pStyle w:val="19"/>
        <w:numPr>
          <w:ilvl w:val="0"/>
          <w:numId w:val="2"/>
        </w:numPr>
        <w:tabs>
          <w:tab w:val="left" w:pos="0"/>
          <w:tab w:val="left" w:pos="1985"/>
          <w:tab w:val="left" w:pos="2340"/>
        </w:tabs>
        <w:adjustRightInd w:val="0"/>
        <w:snapToGrid w:val="0"/>
        <w:spacing w:line="580" w:lineRule="exact"/>
        <w:ind w:left="0" w:firstLine="600"/>
        <w:rPr>
          <w:rFonts w:ascii="仿宋" w:hAnsi="仿宋" w:eastAsia="仿宋"/>
          <w:sz w:val="32"/>
          <w:szCs w:val="32"/>
          <w:highlight w:val="none"/>
          <w:lang w:val="en-GB"/>
        </w:rPr>
      </w:pPr>
      <w:r>
        <w:rPr>
          <w:rFonts w:hint="eastAsia" w:ascii="仿宋" w:hAnsi="仿宋" w:eastAsia="仿宋"/>
          <w:sz w:val="32"/>
          <w:szCs w:val="32"/>
          <w:highlight w:val="none"/>
          <w:lang w:val="en-GB" w:eastAsia="zh-CN"/>
        </w:rPr>
        <w:t>上海清算所可根据监管要求或相关规定对指定债券账户进行注销处理</w:t>
      </w:r>
      <w:r>
        <w:rPr>
          <w:rFonts w:hint="eastAsia" w:ascii="仿宋" w:hAnsi="仿宋" w:eastAsia="仿宋"/>
          <w:sz w:val="32"/>
          <w:szCs w:val="32"/>
          <w:highlight w:val="none"/>
          <w:lang w:val="en-GB"/>
        </w:rPr>
        <w:t>。</w:t>
      </w:r>
    </w:p>
    <w:p w14:paraId="16FDBCED">
      <w:pPr>
        <w:pStyle w:val="18"/>
        <w:keepNext w:val="0"/>
        <w:keepLines w:val="0"/>
        <w:pageBreakBefore w:val="0"/>
        <w:widowControl w:val="0"/>
        <w:numPr>
          <w:ilvl w:val="0"/>
          <w:numId w:val="1"/>
        </w:numPr>
        <w:kinsoku/>
        <w:wordWrap/>
        <w:overflowPunct/>
        <w:topLinePunct w:val="0"/>
        <w:bidi w:val="0"/>
        <w:adjustRightInd w:val="0"/>
        <w:snapToGrid w:val="0"/>
        <w:spacing w:before="0" w:after="0" w:line="580" w:lineRule="exact"/>
        <w:ind w:left="0" w:firstLine="0"/>
        <w:textAlignment w:val="auto"/>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rPr>
        <w:t>债券登记</w:t>
      </w:r>
    </w:p>
    <w:p w14:paraId="3ECC070E">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hint="eastAsia" w:ascii="仿宋" w:hAnsi="仿宋" w:eastAsia="仿宋"/>
          <w:sz w:val="32"/>
          <w:szCs w:val="32"/>
          <w:highlight w:val="none"/>
          <w:lang w:val="en-GB"/>
        </w:rPr>
      </w:pPr>
      <w:r>
        <w:rPr>
          <w:rFonts w:hint="eastAsia" w:ascii="仿宋" w:hAnsi="仿宋" w:eastAsia="仿宋"/>
          <w:sz w:val="32"/>
          <w:szCs w:val="32"/>
          <w:highlight w:val="none"/>
          <w:lang w:val="en-GB"/>
        </w:rPr>
        <w:t>上海清算所依据法律法规、部门规章或管理部门的授权，履行债券中央登记职能，</w:t>
      </w:r>
      <w:r>
        <w:rPr>
          <w:rFonts w:ascii="仿宋" w:hAnsi="仿宋" w:eastAsia="仿宋"/>
          <w:sz w:val="32"/>
          <w:szCs w:val="32"/>
          <w:highlight w:val="none"/>
          <w:lang w:val="en-GB"/>
        </w:rPr>
        <w:t>以簿记方式</w:t>
      </w:r>
      <w:r>
        <w:rPr>
          <w:rFonts w:hint="eastAsia" w:ascii="仿宋" w:hAnsi="仿宋" w:eastAsia="仿宋"/>
          <w:sz w:val="32"/>
          <w:szCs w:val="32"/>
          <w:highlight w:val="none"/>
          <w:lang w:val="en-GB"/>
        </w:rPr>
        <w:t>记录债券信息，并根据债券账户持有记录</w:t>
      </w:r>
      <w:r>
        <w:rPr>
          <w:rFonts w:ascii="仿宋" w:hAnsi="仿宋" w:eastAsia="仿宋"/>
          <w:sz w:val="32"/>
          <w:szCs w:val="32"/>
          <w:highlight w:val="none"/>
          <w:lang w:val="en-GB"/>
        </w:rPr>
        <w:t>依法确认</w:t>
      </w:r>
      <w:r>
        <w:rPr>
          <w:rFonts w:hint="eastAsia" w:ascii="仿宋" w:hAnsi="仿宋" w:eastAsia="仿宋"/>
          <w:sz w:val="32"/>
          <w:szCs w:val="32"/>
          <w:highlight w:val="none"/>
          <w:lang w:val="en-GB" w:eastAsia="zh-CN"/>
        </w:rPr>
        <w:t>债券</w:t>
      </w:r>
      <w:r>
        <w:rPr>
          <w:rFonts w:ascii="仿宋" w:hAnsi="仿宋" w:eastAsia="仿宋"/>
          <w:sz w:val="32"/>
          <w:szCs w:val="32"/>
          <w:highlight w:val="none"/>
          <w:lang w:val="en-GB"/>
        </w:rPr>
        <w:t>持有人持有</w:t>
      </w:r>
      <w:r>
        <w:rPr>
          <w:rFonts w:hint="eastAsia" w:ascii="仿宋" w:hAnsi="仿宋" w:eastAsia="仿宋"/>
          <w:sz w:val="32"/>
          <w:szCs w:val="32"/>
          <w:highlight w:val="none"/>
          <w:lang w:val="en-GB"/>
        </w:rPr>
        <w:t>债券</w:t>
      </w:r>
      <w:r>
        <w:rPr>
          <w:rFonts w:hint="eastAsia" w:ascii="仿宋" w:hAnsi="仿宋" w:eastAsia="仿宋"/>
          <w:sz w:val="32"/>
          <w:szCs w:val="32"/>
          <w:highlight w:val="none"/>
          <w:lang w:val="en-GB" w:eastAsia="zh-CN"/>
        </w:rPr>
        <w:t>的</w:t>
      </w:r>
      <w:r>
        <w:rPr>
          <w:rFonts w:ascii="仿宋" w:hAnsi="仿宋" w:eastAsia="仿宋"/>
          <w:sz w:val="32"/>
          <w:szCs w:val="32"/>
          <w:highlight w:val="none"/>
          <w:lang w:val="en-GB"/>
        </w:rPr>
        <w:t>事实。</w:t>
      </w:r>
      <w:r>
        <w:rPr>
          <w:rFonts w:hint="eastAsia" w:ascii="仿宋" w:hAnsi="仿宋" w:eastAsia="仿宋"/>
          <w:sz w:val="32"/>
          <w:szCs w:val="32"/>
          <w:highlight w:val="none"/>
          <w:lang w:val="en-GB"/>
        </w:rPr>
        <w:t>债券登记包括初始登记、变更登记和注销登记。</w:t>
      </w:r>
    </w:p>
    <w:p w14:paraId="3801FA29">
      <w:pPr>
        <w:pStyle w:val="19"/>
        <w:pageBreakBefore w:val="0"/>
        <w:widowControl w:val="0"/>
        <w:numPr>
          <w:ilvl w:val="-1"/>
          <w:numId w:val="0"/>
        </w:numPr>
        <w:tabs>
          <w:tab w:val="left" w:pos="0"/>
          <w:tab w:val="left" w:pos="1985"/>
          <w:tab w:val="left" w:pos="2340"/>
        </w:tabs>
        <w:kinsoku/>
        <w:wordWrap/>
        <w:overflowPunct/>
        <w:topLinePunct w:val="0"/>
        <w:bidi w:val="0"/>
        <w:adjustRightInd w:val="0"/>
        <w:snapToGrid w:val="0"/>
        <w:spacing w:line="580" w:lineRule="exact"/>
        <w:ind w:left="0" w:firstLine="640" w:firstLineChars="200"/>
        <w:textAlignment w:val="auto"/>
        <w:rPr>
          <w:rFonts w:hint="eastAsia" w:ascii="仿宋" w:hAnsi="仿宋" w:eastAsia="仿宋"/>
          <w:sz w:val="32"/>
          <w:szCs w:val="32"/>
          <w:highlight w:val="none"/>
          <w:lang w:val="en-GB"/>
        </w:rPr>
      </w:pPr>
      <w:r>
        <w:rPr>
          <w:rFonts w:hint="eastAsia" w:ascii="仿宋" w:hAnsi="仿宋" w:eastAsia="仿宋"/>
          <w:sz w:val="32"/>
          <w:szCs w:val="32"/>
          <w:highlight w:val="none"/>
          <w:lang w:val="en-GB"/>
        </w:rPr>
        <w:t>债券信息包括但不限于债券名称、债券代码、债券简称、</w:t>
      </w:r>
      <w:r>
        <w:rPr>
          <w:rFonts w:hint="eastAsia" w:ascii="仿宋" w:hAnsi="仿宋" w:eastAsia="仿宋"/>
          <w:sz w:val="32"/>
          <w:szCs w:val="32"/>
          <w:highlight w:val="none"/>
          <w:lang w:val="en-GB" w:eastAsia="zh-CN"/>
        </w:rPr>
        <w:t>债券</w:t>
      </w:r>
      <w:r>
        <w:rPr>
          <w:rFonts w:hint="eastAsia" w:ascii="仿宋" w:hAnsi="仿宋" w:eastAsia="仿宋"/>
          <w:sz w:val="32"/>
          <w:szCs w:val="32"/>
          <w:highlight w:val="none"/>
          <w:lang w:val="en-GB"/>
        </w:rPr>
        <w:t>发行人、发行总额、票面利率、计息方式、期限等</w:t>
      </w:r>
      <w:r>
        <w:rPr>
          <w:rFonts w:hint="eastAsia" w:ascii="仿宋" w:hAnsi="仿宋" w:eastAsia="仿宋"/>
          <w:sz w:val="32"/>
          <w:szCs w:val="32"/>
          <w:highlight w:val="none"/>
          <w:lang w:val="en-GB" w:eastAsia="zh-CN"/>
        </w:rPr>
        <w:t>。</w:t>
      </w:r>
      <w:r>
        <w:rPr>
          <w:rFonts w:hint="eastAsia" w:ascii="仿宋" w:hAnsi="仿宋" w:eastAsia="仿宋"/>
          <w:sz w:val="32"/>
          <w:szCs w:val="32"/>
          <w:highlight w:val="none"/>
          <w:lang w:val="en-GB"/>
        </w:rPr>
        <w:t>债券账户持有记录包括但不限于债券账户名称、债券账户账号、所持债券名称及代码、持有数量及其变动情况、债券权利状态等。</w:t>
      </w:r>
    </w:p>
    <w:p w14:paraId="4680C71E">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hint="eastAsia" w:ascii="仿宋" w:hAnsi="仿宋" w:eastAsia="仿宋"/>
          <w:sz w:val="32"/>
          <w:szCs w:val="32"/>
          <w:highlight w:val="none"/>
          <w:lang w:val="en-GB"/>
        </w:rPr>
      </w:pPr>
      <w:r>
        <w:rPr>
          <w:rFonts w:hint="eastAsia" w:ascii="仿宋" w:hAnsi="仿宋" w:eastAsia="仿宋"/>
          <w:sz w:val="32"/>
          <w:szCs w:val="32"/>
          <w:highlight w:val="none"/>
          <w:lang w:val="en-GB" w:eastAsia="zh-CN"/>
        </w:rPr>
        <w:t>债券</w:t>
      </w:r>
      <w:r>
        <w:rPr>
          <w:rFonts w:hint="eastAsia" w:ascii="仿宋" w:hAnsi="仿宋" w:eastAsia="仿宋"/>
          <w:sz w:val="32"/>
          <w:szCs w:val="32"/>
          <w:highlight w:val="none"/>
          <w:lang w:val="en-GB"/>
        </w:rPr>
        <w:t>发行人首次在上海清算所办理债券登记前，应当与上海清算所签订发行人服务协议并开立发行人账户。</w:t>
      </w:r>
    </w:p>
    <w:p w14:paraId="28BEEA0F">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hint="eastAsia" w:ascii="仿宋" w:hAnsi="仿宋" w:eastAsia="仿宋"/>
          <w:sz w:val="32"/>
          <w:szCs w:val="32"/>
          <w:highlight w:val="none"/>
          <w:lang w:val="en-GB"/>
        </w:rPr>
      </w:pPr>
      <w:r>
        <w:rPr>
          <w:rFonts w:hint="eastAsia" w:ascii="仿宋" w:hAnsi="仿宋" w:eastAsia="仿宋"/>
          <w:sz w:val="32"/>
          <w:szCs w:val="32"/>
          <w:highlight w:val="none"/>
          <w:lang w:val="en-GB"/>
        </w:rPr>
        <w:t>上海清算所按照法律法规、部门规章及管理部门规定，为债券信息披露提供服务，按照规定接收、传输并通过官方网站披露相关信息。</w:t>
      </w:r>
    </w:p>
    <w:p w14:paraId="4BBDB29B">
      <w:pPr>
        <w:pStyle w:val="19"/>
        <w:numPr>
          <w:ilvl w:val="0"/>
          <w:numId w:val="0"/>
        </w:numPr>
        <w:tabs>
          <w:tab w:val="left" w:pos="0"/>
          <w:tab w:val="left" w:pos="1985"/>
          <w:tab w:val="left" w:pos="2340"/>
        </w:tabs>
        <w:adjustRightInd w:val="0"/>
        <w:snapToGrid w:val="0"/>
        <w:spacing w:line="580" w:lineRule="exact"/>
        <w:ind w:left="0" w:firstLine="640" w:firstLineChars="200"/>
        <w:rPr>
          <w:rFonts w:hint="eastAsia" w:ascii="仿宋" w:hAnsi="仿宋" w:eastAsia="仿宋"/>
          <w:sz w:val="32"/>
          <w:szCs w:val="32"/>
          <w:highlight w:val="none"/>
          <w:lang w:val="en-GB"/>
        </w:rPr>
      </w:pPr>
      <w:r>
        <w:rPr>
          <w:rFonts w:hint="eastAsia" w:ascii="仿宋" w:hAnsi="仿宋" w:eastAsia="仿宋"/>
          <w:sz w:val="32"/>
          <w:szCs w:val="32"/>
          <w:highlight w:val="none"/>
          <w:lang w:val="en-GB" w:eastAsia="zh-CN"/>
        </w:rPr>
        <w:t>债券</w:t>
      </w:r>
      <w:r>
        <w:rPr>
          <w:rFonts w:hint="eastAsia" w:ascii="仿宋" w:hAnsi="仿宋" w:eastAsia="仿宋"/>
          <w:sz w:val="32"/>
          <w:szCs w:val="32"/>
          <w:highlight w:val="none"/>
          <w:lang w:val="en-GB"/>
        </w:rPr>
        <w:t>发行人及其他信息披露义务人应当按照有关规定履行债券发行及存续期间的信息披露义务。</w:t>
      </w:r>
    </w:p>
    <w:p w14:paraId="1E0B5366">
      <w:pPr>
        <w:pStyle w:val="19"/>
        <w:pageBreakBefore w:val="0"/>
        <w:widowControl w:val="0"/>
        <w:numPr>
          <w:ilvl w:val="0"/>
          <w:numId w:val="3"/>
        </w:numPr>
        <w:tabs>
          <w:tab w:val="left" w:pos="0"/>
          <w:tab w:val="left" w:pos="1985"/>
          <w:tab w:val="left" w:pos="2340"/>
        </w:tabs>
        <w:kinsoku/>
        <w:wordWrap/>
        <w:overflowPunct/>
        <w:topLinePunct w:val="0"/>
        <w:bidi w:val="0"/>
        <w:adjustRightInd w:val="0"/>
        <w:snapToGrid w:val="0"/>
        <w:spacing w:line="580" w:lineRule="exact"/>
        <w:jc w:val="center"/>
        <w:textAlignment w:val="auto"/>
        <w:rPr>
          <w:rFonts w:hint="eastAsia" w:ascii="楷体" w:hAnsi="楷体" w:eastAsia="楷体" w:cs="楷体"/>
          <w:b w:val="0"/>
          <w:bCs w:val="0"/>
          <w:kern w:val="44"/>
          <w:sz w:val="32"/>
          <w:szCs w:val="32"/>
          <w:highlight w:val="none"/>
          <w:lang w:val="en-US"/>
        </w:rPr>
      </w:pPr>
      <w:r>
        <w:rPr>
          <w:rFonts w:hint="eastAsia" w:ascii="楷体" w:hAnsi="楷体" w:eastAsia="楷体" w:cs="楷体"/>
          <w:b w:val="0"/>
          <w:bCs w:val="0"/>
          <w:kern w:val="44"/>
          <w:sz w:val="32"/>
          <w:szCs w:val="32"/>
          <w:highlight w:val="none"/>
          <w:lang w:val="en-US"/>
        </w:rPr>
        <w:t>初始登记</w:t>
      </w:r>
    </w:p>
    <w:p w14:paraId="3474AB0A">
      <w:pPr>
        <w:pStyle w:val="19"/>
        <w:numPr>
          <w:ilvl w:val="0"/>
          <w:numId w:val="2"/>
        </w:numPr>
        <w:tabs>
          <w:tab w:val="left" w:pos="0"/>
          <w:tab w:val="left" w:pos="1985"/>
          <w:tab w:val="left" w:pos="2340"/>
        </w:tabs>
        <w:adjustRightInd w:val="0"/>
        <w:snapToGrid w:val="0"/>
        <w:spacing w:line="580" w:lineRule="exact"/>
        <w:ind w:left="0" w:firstLine="600"/>
        <w:rPr>
          <w:rFonts w:hint="eastAsia" w:ascii="仿宋" w:hAnsi="仿宋" w:eastAsia="仿宋"/>
          <w:sz w:val="32"/>
          <w:szCs w:val="32"/>
          <w:highlight w:val="none"/>
          <w:lang w:val="en-GB"/>
        </w:rPr>
      </w:pPr>
      <w:r>
        <w:rPr>
          <w:rFonts w:hint="eastAsia" w:ascii="仿宋" w:hAnsi="仿宋" w:eastAsia="仿宋"/>
          <w:sz w:val="32"/>
          <w:szCs w:val="32"/>
          <w:highlight w:val="none"/>
          <w:lang w:val="en-GB"/>
        </w:rPr>
        <w:t>上海清算所依据</w:t>
      </w:r>
      <w:r>
        <w:rPr>
          <w:rFonts w:hint="eastAsia" w:ascii="仿宋" w:hAnsi="仿宋" w:eastAsia="仿宋"/>
          <w:sz w:val="32"/>
          <w:szCs w:val="32"/>
          <w:highlight w:val="none"/>
          <w:lang w:val="en-GB" w:eastAsia="zh-CN"/>
        </w:rPr>
        <w:t>债券</w:t>
      </w:r>
      <w:r>
        <w:rPr>
          <w:rFonts w:hint="eastAsia" w:ascii="仿宋" w:hAnsi="仿宋" w:eastAsia="仿宋"/>
          <w:sz w:val="32"/>
          <w:szCs w:val="32"/>
          <w:highlight w:val="none"/>
          <w:lang w:val="en-GB"/>
        </w:rPr>
        <w:t>发行人提供的发行文件及相关材料，办理债券代码和债券简称分配、债券注册要素登记、额度登记及债权债务登记等业务。</w:t>
      </w:r>
    </w:p>
    <w:p w14:paraId="14779756">
      <w:pPr>
        <w:pStyle w:val="19"/>
        <w:numPr>
          <w:ilvl w:val="0"/>
          <w:numId w:val="2"/>
        </w:numPr>
        <w:tabs>
          <w:tab w:val="left" w:pos="0"/>
          <w:tab w:val="left" w:pos="1985"/>
          <w:tab w:val="left" w:pos="2340"/>
        </w:tabs>
        <w:adjustRightInd w:val="0"/>
        <w:snapToGrid w:val="0"/>
        <w:spacing w:line="580" w:lineRule="exact"/>
        <w:ind w:left="0" w:firstLine="600"/>
        <w:rPr>
          <w:rFonts w:hint="eastAsia" w:ascii="仿宋" w:hAnsi="仿宋" w:eastAsia="仿宋"/>
          <w:sz w:val="32"/>
          <w:szCs w:val="32"/>
          <w:highlight w:val="none"/>
          <w:lang w:val="en-GB"/>
        </w:rPr>
      </w:pPr>
      <w:r>
        <w:rPr>
          <w:rFonts w:hint="eastAsia" w:ascii="仿宋" w:hAnsi="仿宋" w:eastAsia="仿宋"/>
          <w:sz w:val="32"/>
          <w:szCs w:val="32"/>
          <w:highlight w:val="none"/>
          <w:lang w:val="en-GB" w:eastAsia="zh-CN"/>
        </w:rPr>
        <w:t>债券</w:t>
      </w:r>
      <w:r>
        <w:rPr>
          <w:rFonts w:hint="eastAsia" w:ascii="仿宋" w:hAnsi="仿宋" w:eastAsia="仿宋"/>
          <w:sz w:val="32"/>
          <w:szCs w:val="32"/>
          <w:highlight w:val="none"/>
          <w:lang w:val="en-GB"/>
        </w:rPr>
        <w:t>发行人在依法取得债券发行审批、核准、注册、备案等相关文件后，应当于债券发行前向上海清算所申请配发债券代码和债券简称。</w:t>
      </w:r>
    </w:p>
    <w:p w14:paraId="10A76330">
      <w:pPr>
        <w:pStyle w:val="19"/>
        <w:numPr>
          <w:ilvl w:val="0"/>
          <w:numId w:val="2"/>
        </w:numPr>
        <w:tabs>
          <w:tab w:val="left" w:pos="0"/>
          <w:tab w:val="left" w:pos="1985"/>
          <w:tab w:val="left" w:pos="2340"/>
        </w:tabs>
        <w:adjustRightInd w:val="0"/>
        <w:snapToGrid w:val="0"/>
        <w:spacing w:line="580" w:lineRule="exact"/>
        <w:ind w:left="0" w:firstLine="600"/>
        <w:rPr>
          <w:rFonts w:hint="eastAsia" w:ascii="仿宋" w:hAnsi="仿宋" w:eastAsia="仿宋"/>
          <w:sz w:val="32"/>
          <w:szCs w:val="32"/>
          <w:highlight w:val="none"/>
          <w:lang w:val="en-GB"/>
        </w:rPr>
      </w:pPr>
      <w:r>
        <w:rPr>
          <w:rFonts w:hint="eastAsia" w:ascii="仿宋" w:hAnsi="仿宋" w:eastAsia="仿宋"/>
          <w:sz w:val="32"/>
          <w:szCs w:val="32"/>
          <w:highlight w:val="none"/>
          <w:lang w:val="en-GB" w:eastAsia="zh-CN"/>
        </w:rPr>
        <w:t>债券</w:t>
      </w:r>
      <w:r>
        <w:rPr>
          <w:rFonts w:hint="eastAsia" w:ascii="仿宋" w:hAnsi="仿宋" w:eastAsia="仿宋"/>
          <w:sz w:val="32"/>
          <w:szCs w:val="32"/>
          <w:highlight w:val="none"/>
          <w:lang w:val="en-GB"/>
        </w:rPr>
        <w:t>发行人可采用招标发行、簿记建档、报价发行或中国人民银行认可的其他方式，面向</w:t>
      </w:r>
      <w:r>
        <w:rPr>
          <w:rFonts w:hint="eastAsia" w:ascii="仿宋" w:hAnsi="仿宋" w:eastAsia="仿宋"/>
          <w:sz w:val="32"/>
          <w:szCs w:val="32"/>
          <w:highlight w:val="none"/>
          <w:lang w:val="en-GB" w:eastAsia="zh-CN"/>
        </w:rPr>
        <w:t>符合要求的</w:t>
      </w:r>
      <w:r>
        <w:rPr>
          <w:rFonts w:hint="eastAsia" w:ascii="仿宋" w:hAnsi="仿宋" w:eastAsia="仿宋"/>
          <w:sz w:val="32"/>
          <w:szCs w:val="32"/>
          <w:highlight w:val="none"/>
          <w:lang w:val="en-GB"/>
        </w:rPr>
        <w:t>投资者发行债券。</w:t>
      </w:r>
    </w:p>
    <w:p w14:paraId="6CF6E739">
      <w:pPr>
        <w:pStyle w:val="19"/>
        <w:numPr>
          <w:ilvl w:val="0"/>
          <w:numId w:val="2"/>
        </w:numPr>
        <w:tabs>
          <w:tab w:val="left" w:pos="0"/>
          <w:tab w:val="left" w:pos="1985"/>
          <w:tab w:val="left" w:pos="2340"/>
        </w:tabs>
        <w:adjustRightInd w:val="0"/>
        <w:snapToGrid w:val="0"/>
        <w:spacing w:line="580" w:lineRule="exact"/>
        <w:ind w:left="0" w:firstLine="600"/>
        <w:rPr>
          <w:rFonts w:hint="eastAsia" w:ascii="仿宋" w:hAnsi="仿宋" w:eastAsia="仿宋"/>
          <w:sz w:val="32"/>
          <w:szCs w:val="32"/>
          <w:highlight w:val="none"/>
          <w:lang w:val="en-GB"/>
        </w:rPr>
      </w:pPr>
      <w:r>
        <w:rPr>
          <w:rFonts w:hint="eastAsia" w:ascii="仿宋" w:hAnsi="仿宋" w:eastAsia="仿宋"/>
          <w:sz w:val="32"/>
          <w:szCs w:val="32"/>
          <w:highlight w:val="none"/>
          <w:lang w:val="en-GB" w:eastAsia="zh-CN"/>
        </w:rPr>
        <w:t>债券</w:t>
      </w:r>
      <w:r>
        <w:rPr>
          <w:rFonts w:hint="eastAsia" w:ascii="仿宋" w:hAnsi="仿宋" w:eastAsia="仿宋"/>
          <w:sz w:val="32"/>
          <w:szCs w:val="32"/>
          <w:highlight w:val="none"/>
          <w:lang w:val="en-GB"/>
        </w:rPr>
        <w:t>发行人应在债券发行结束后，于上海清算所规定时点</w:t>
      </w:r>
      <w:r>
        <w:rPr>
          <w:rFonts w:hint="eastAsia" w:ascii="仿宋" w:hAnsi="仿宋" w:eastAsia="仿宋"/>
          <w:sz w:val="32"/>
          <w:szCs w:val="32"/>
          <w:highlight w:val="none"/>
          <w:lang w:val="en-GB" w:eastAsia="zh-CN"/>
        </w:rPr>
        <w:t>前</w:t>
      </w:r>
      <w:r>
        <w:rPr>
          <w:rFonts w:hint="eastAsia" w:ascii="仿宋" w:hAnsi="仿宋" w:eastAsia="仿宋"/>
          <w:sz w:val="32"/>
          <w:szCs w:val="32"/>
          <w:highlight w:val="none"/>
          <w:lang w:val="en-GB"/>
        </w:rPr>
        <w:t>提交债券注册要素申请材料、债券额度分配结果。上海清算所审核通过后，办理债券注册要素登记和额度登记。</w:t>
      </w:r>
    </w:p>
    <w:p w14:paraId="18D1847E">
      <w:pPr>
        <w:pStyle w:val="19"/>
        <w:numPr>
          <w:ilvl w:val="0"/>
          <w:numId w:val="0"/>
        </w:numPr>
        <w:tabs>
          <w:tab w:val="left" w:pos="0"/>
          <w:tab w:val="left" w:pos="1985"/>
          <w:tab w:val="left" w:pos="2340"/>
        </w:tabs>
        <w:adjustRightInd w:val="0"/>
        <w:snapToGrid w:val="0"/>
        <w:spacing w:line="580" w:lineRule="exact"/>
        <w:ind w:left="0" w:firstLine="640" w:firstLineChars="200"/>
        <w:rPr>
          <w:rFonts w:hint="eastAsia" w:ascii="仿宋" w:hAnsi="仿宋" w:eastAsia="仿宋"/>
          <w:sz w:val="32"/>
          <w:szCs w:val="32"/>
          <w:highlight w:val="none"/>
          <w:lang w:val="en-GB"/>
        </w:rPr>
      </w:pPr>
      <w:r>
        <w:rPr>
          <w:rFonts w:hint="eastAsia" w:ascii="仿宋" w:hAnsi="仿宋" w:eastAsia="仿宋"/>
          <w:sz w:val="32"/>
          <w:szCs w:val="32"/>
          <w:highlight w:val="none"/>
          <w:lang w:val="en-GB" w:eastAsia="zh-CN"/>
        </w:rPr>
        <w:t>债券</w:t>
      </w:r>
      <w:r>
        <w:rPr>
          <w:rFonts w:hint="eastAsia" w:ascii="仿宋" w:hAnsi="仿宋" w:eastAsia="仿宋"/>
          <w:sz w:val="32"/>
          <w:szCs w:val="32"/>
          <w:highlight w:val="none"/>
          <w:lang w:val="en-GB"/>
        </w:rPr>
        <w:t>发行人通过中国人民银行认可的集中发行平台（以下简称发行平台）办理债券发行的，上海清算所依据发行平台传输的信息办理债券注册要素登记和额度登记。</w:t>
      </w:r>
    </w:p>
    <w:p w14:paraId="6D8BF0A4">
      <w:pPr>
        <w:pStyle w:val="19"/>
        <w:numPr>
          <w:ilvl w:val="0"/>
          <w:numId w:val="2"/>
        </w:numPr>
        <w:tabs>
          <w:tab w:val="left" w:pos="0"/>
          <w:tab w:val="left" w:pos="1985"/>
          <w:tab w:val="left" w:pos="2340"/>
        </w:tabs>
        <w:adjustRightInd w:val="0"/>
        <w:snapToGrid w:val="0"/>
        <w:spacing w:line="580" w:lineRule="exact"/>
        <w:ind w:left="0" w:firstLine="600"/>
        <w:rPr>
          <w:rFonts w:hint="eastAsia" w:ascii="仿宋" w:hAnsi="仿宋" w:eastAsia="仿宋" w:cs="Times New Roman"/>
          <w:sz w:val="32"/>
          <w:szCs w:val="32"/>
          <w:highlight w:val="none"/>
          <w:lang w:val="en-GB"/>
        </w:rPr>
      </w:pPr>
      <w:r>
        <w:rPr>
          <w:rFonts w:hint="eastAsia" w:ascii="仿宋" w:hAnsi="仿宋" w:eastAsia="仿宋" w:cs="Times New Roman"/>
          <w:sz w:val="32"/>
          <w:szCs w:val="32"/>
          <w:highlight w:val="none"/>
          <w:lang w:val="en-GB"/>
        </w:rPr>
        <w:t>承销商和投资者可通过中国人民银行认可的业务平台或上海清算所系统提交分销指令。上海清算所根据有效的分销指令，办理分销结算。</w:t>
      </w:r>
    </w:p>
    <w:p w14:paraId="053E2232">
      <w:pPr>
        <w:pStyle w:val="19"/>
        <w:numPr>
          <w:ilvl w:val="0"/>
          <w:numId w:val="2"/>
        </w:numPr>
        <w:tabs>
          <w:tab w:val="left" w:pos="0"/>
          <w:tab w:val="left" w:pos="1985"/>
          <w:tab w:val="left" w:pos="2340"/>
        </w:tabs>
        <w:adjustRightInd w:val="0"/>
        <w:snapToGrid w:val="0"/>
        <w:spacing w:line="580" w:lineRule="exact"/>
        <w:ind w:left="0" w:firstLine="600"/>
        <w:rPr>
          <w:rFonts w:hint="eastAsia" w:ascii="仿宋" w:hAnsi="仿宋" w:eastAsia="仿宋" w:cs="Times New Roman"/>
          <w:sz w:val="32"/>
          <w:szCs w:val="32"/>
          <w:highlight w:val="none"/>
          <w:lang w:val="en-GB" w:eastAsia="zh-CN"/>
        </w:rPr>
      </w:pPr>
      <w:r>
        <w:rPr>
          <w:rFonts w:hint="eastAsia" w:ascii="仿宋" w:hAnsi="仿宋" w:eastAsia="仿宋" w:cs="Times New Roman"/>
          <w:sz w:val="32"/>
          <w:szCs w:val="32"/>
          <w:highlight w:val="none"/>
          <w:lang w:val="en-GB" w:eastAsia="zh-CN"/>
        </w:rPr>
        <w:t>债券</w:t>
      </w:r>
      <w:r>
        <w:rPr>
          <w:rFonts w:hint="eastAsia" w:ascii="仿宋" w:hAnsi="仿宋" w:eastAsia="仿宋" w:cs="Times New Roman"/>
          <w:sz w:val="32"/>
          <w:szCs w:val="32"/>
          <w:highlight w:val="none"/>
          <w:lang w:val="en-GB"/>
        </w:rPr>
        <w:t>发行人应当在上海清算所规定时点前，自行或通过发行平台向上海清算所提交债券发行款到账确认书。上海清算所依据债券发行款到账确认书</w:t>
      </w:r>
      <w:r>
        <w:rPr>
          <w:rFonts w:hint="eastAsia" w:ascii="仿宋" w:hAnsi="仿宋" w:eastAsia="仿宋" w:cs="Times New Roman"/>
          <w:sz w:val="32"/>
          <w:szCs w:val="32"/>
          <w:highlight w:val="none"/>
          <w:lang w:val="en-GB" w:eastAsia="zh-CN"/>
        </w:rPr>
        <w:t>或中国人民银行认可的其他方式，</w:t>
      </w:r>
      <w:r>
        <w:rPr>
          <w:rFonts w:hint="eastAsia" w:ascii="仿宋" w:hAnsi="仿宋" w:eastAsia="仿宋" w:cs="Times New Roman"/>
          <w:sz w:val="32"/>
          <w:szCs w:val="32"/>
          <w:highlight w:val="none"/>
          <w:lang w:val="en-GB"/>
        </w:rPr>
        <w:t>办理债权债务登记。</w:t>
      </w:r>
    </w:p>
    <w:p w14:paraId="7FFCBE54">
      <w:pPr>
        <w:pStyle w:val="19"/>
        <w:numPr>
          <w:ilvl w:val="-1"/>
          <w:numId w:val="0"/>
        </w:numPr>
        <w:tabs>
          <w:tab w:val="left" w:pos="0"/>
          <w:tab w:val="left" w:pos="1985"/>
          <w:tab w:val="left" w:pos="2340"/>
        </w:tabs>
        <w:adjustRightInd w:val="0"/>
        <w:snapToGrid w:val="0"/>
        <w:spacing w:line="580" w:lineRule="exact"/>
        <w:ind w:left="0" w:firstLine="640" w:firstLineChars="200"/>
        <w:rPr>
          <w:rFonts w:hint="default" w:ascii="仿宋" w:hAnsi="仿宋" w:eastAsia="仿宋" w:cs="Times New Roman"/>
          <w:sz w:val="32"/>
          <w:szCs w:val="32"/>
          <w:highlight w:val="none"/>
          <w:lang w:val="en-US" w:eastAsia="zh-CN"/>
        </w:rPr>
      </w:pPr>
      <w:r>
        <w:rPr>
          <w:rFonts w:hint="default" w:ascii="仿宋" w:hAnsi="仿宋" w:eastAsia="仿宋"/>
          <w:sz w:val="32"/>
          <w:szCs w:val="32"/>
          <w:highlight w:val="none"/>
        </w:rPr>
        <w:t>对</w:t>
      </w:r>
      <w:r>
        <w:rPr>
          <w:rFonts w:hint="eastAsia" w:ascii="仿宋" w:hAnsi="仿宋" w:eastAsia="仿宋"/>
          <w:sz w:val="32"/>
          <w:szCs w:val="32"/>
          <w:highlight w:val="none"/>
          <w:lang w:eastAsia="zh-CN"/>
        </w:rPr>
        <w:t>债券</w:t>
      </w:r>
      <w:r>
        <w:rPr>
          <w:rFonts w:hint="default" w:ascii="仿宋" w:hAnsi="仿宋" w:eastAsia="仿宋"/>
          <w:sz w:val="32"/>
          <w:szCs w:val="32"/>
          <w:highlight w:val="none"/>
        </w:rPr>
        <w:t>发行人明确的发行款未到账的额度，上海清算所根据</w:t>
      </w:r>
      <w:r>
        <w:rPr>
          <w:rFonts w:hint="eastAsia" w:ascii="仿宋" w:hAnsi="仿宋" w:eastAsia="仿宋"/>
          <w:sz w:val="32"/>
          <w:szCs w:val="32"/>
          <w:highlight w:val="none"/>
          <w:lang w:eastAsia="zh-CN"/>
        </w:rPr>
        <w:t>中国人民银行</w:t>
      </w:r>
      <w:r>
        <w:rPr>
          <w:rFonts w:hint="default" w:ascii="仿宋" w:hAnsi="仿宋" w:eastAsia="仿宋"/>
          <w:sz w:val="32"/>
          <w:szCs w:val="32"/>
          <w:highlight w:val="none"/>
        </w:rPr>
        <w:t>相关规定、发行公告、发行人与承销商的协议约定、定向发行协议及发行人申请等，进行相应处理。</w:t>
      </w:r>
    </w:p>
    <w:p w14:paraId="1DBEB79A">
      <w:pPr>
        <w:pStyle w:val="19"/>
        <w:numPr>
          <w:ilvl w:val="-1"/>
          <w:numId w:val="0"/>
        </w:numPr>
        <w:tabs>
          <w:tab w:val="left" w:pos="0"/>
          <w:tab w:val="left" w:pos="1985"/>
          <w:tab w:val="left" w:pos="2340"/>
        </w:tabs>
        <w:adjustRightInd w:val="0"/>
        <w:snapToGrid w:val="0"/>
        <w:spacing w:line="580" w:lineRule="exact"/>
        <w:ind w:left="0" w:firstLine="640" w:firstLineChars="200"/>
        <w:rPr>
          <w:rFonts w:hint="default" w:ascii="仿宋" w:hAnsi="仿宋" w:eastAsia="仿宋" w:cs="Times New Roman"/>
          <w:sz w:val="32"/>
          <w:szCs w:val="32"/>
          <w:highlight w:val="none"/>
          <w:lang w:val="en-US" w:eastAsia="zh-CN"/>
        </w:rPr>
      </w:pPr>
      <w:r>
        <w:rPr>
          <w:rFonts w:hint="eastAsia" w:ascii="仿宋" w:hAnsi="仿宋" w:eastAsia="仿宋" w:cs="Times New Roman"/>
          <w:sz w:val="32"/>
          <w:szCs w:val="32"/>
          <w:highlight w:val="none"/>
          <w:lang w:val="en-US" w:eastAsia="zh-CN"/>
        </w:rPr>
        <w:t>债券发行人通过中国人民银行认可的其他方式办理债券初始登记的，根据中国人民银行相关规定办理。</w:t>
      </w:r>
    </w:p>
    <w:p w14:paraId="47152DBD">
      <w:pPr>
        <w:pStyle w:val="19"/>
        <w:numPr>
          <w:ilvl w:val="0"/>
          <w:numId w:val="2"/>
        </w:numPr>
        <w:tabs>
          <w:tab w:val="left" w:pos="0"/>
          <w:tab w:val="left" w:pos="1985"/>
          <w:tab w:val="left" w:pos="2340"/>
        </w:tabs>
        <w:adjustRightInd w:val="0"/>
        <w:snapToGrid w:val="0"/>
        <w:spacing w:line="580" w:lineRule="exact"/>
        <w:ind w:left="0" w:firstLine="600"/>
        <w:rPr>
          <w:rFonts w:hint="eastAsia" w:ascii="仿宋" w:hAnsi="仿宋" w:eastAsia="仿宋" w:cs="Times New Roman"/>
          <w:sz w:val="32"/>
          <w:szCs w:val="32"/>
          <w:highlight w:val="none"/>
          <w:lang w:val="en-GB"/>
        </w:rPr>
      </w:pPr>
      <w:r>
        <w:rPr>
          <w:rFonts w:hint="eastAsia" w:ascii="仿宋" w:hAnsi="仿宋" w:eastAsia="仿宋" w:cs="Times New Roman"/>
          <w:sz w:val="32"/>
          <w:szCs w:val="32"/>
          <w:highlight w:val="none"/>
          <w:lang w:val="en-GB" w:eastAsia="zh-CN"/>
        </w:rPr>
        <w:t>债券</w:t>
      </w:r>
      <w:r>
        <w:rPr>
          <w:rFonts w:hint="eastAsia" w:ascii="仿宋" w:hAnsi="仿宋" w:eastAsia="仿宋" w:cs="Times New Roman"/>
          <w:sz w:val="32"/>
          <w:szCs w:val="32"/>
          <w:highlight w:val="none"/>
          <w:lang w:val="en-GB"/>
        </w:rPr>
        <w:t>发行人提供的申请材料、发行平台传输的信息或指令有误，导致债券初始登记有误的，由造成错误的相关责任主体依法承担相应责任。上海清算所按照职责范围办理且无过错的，依法不承担由此产生的</w:t>
      </w:r>
      <w:r>
        <w:rPr>
          <w:rFonts w:hint="eastAsia" w:ascii="仿宋" w:hAnsi="仿宋" w:eastAsia="仿宋" w:cs="Times New Roman"/>
          <w:sz w:val="32"/>
          <w:szCs w:val="32"/>
          <w:highlight w:val="none"/>
          <w:lang w:val="en-GB" w:eastAsia="zh-CN"/>
        </w:rPr>
        <w:t>任何</w:t>
      </w:r>
      <w:r>
        <w:rPr>
          <w:rFonts w:hint="eastAsia" w:ascii="仿宋" w:hAnsi="仿宋" w:eastAsia="仿宋" w:cs="Times New Roman"/>
          <w:sz w:val="32"/>
          <w:szCs w:val="32"/>
          <w:highlight w:val="none"/>
          <w:lang w:val="en-GB"/>
        </w:rPr>
        <w:t>责任。</w:t>
      </w:r>
    </w:p>
    <w:p w14:paraId="7B0DCC7D">
      <w:pPr>
        <w:pStyle w:val="19"/>
        <w:pageBreakBefore w:val="0"/>
        <w:widowControl w:val="0"/>
        <w:numPr>
          <w:ilvl w:val="0"/>
          <w:numId w:val="3"/>
        </w:numPr>
        <w:tabs>
          <w:tab w:val="left" w:pos="0"/>
          <w:tab w:val="left" w:pos="1985"/>
          <w:tab w:val="left" w:pos="2340"/>
        </w:tabs>
        <w:kinsoku/>
        <w:wordWrap/>
        <w:overflowPunct/>
        <w:topLinePunct w:val="0"/>
        <w:bidi w:val="0"/>
        <w:adjustRightInd w:val="0"/>
        <w:snapToGrid w:val="0"/>
        <w:spacing w:line="580" w:lineRule="exact"/>
        <w:jc w:val="center"/>
        <w:textAlignment w:val="auto"/>
        <w:rPr>
          <w:rFonts w:hint="eastAsia" w:ascii="楷体" w:hAnsi="楷体" w:eastAsia="楷体" w:cs="楷体"/>
          <w:b w:val="0"/>
          <w:bCs w:val="0"/>
          <w:kern w:val="44"/>
          <w:sz w:val="32"/>
          <w:szCs w:val="32"/>
          <w:highlight w:val="none"/>
          <w:lang w:val="en-US"/>
        </w:rPr>
      </w:pPr>
      <w:r>
        <w:rPr>
          <w:rFonts w:hint="eastAsia" w:ascii="楷体" w:hAnsi="楷体" w:eastAsia="楷体" w:cs="楷体"/>
          <w:b w:val="0"/>
          <w:bCs w:val="0"/>
          <w:kern w:val="44"/>
          <w:sz w:val="32"/>
          <w:szCs w:val="32"/>
          <w:highlight w:val="none"/>
          <w:lang w:val="en-US"/>
        </w:rPr>
        <w:t>变更登记</w:t>
      </w:r>
    </w:p>
    <w:p w14:paraId="400FC3C2">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hint="eastAsia" w:ascii="仿宋" w:hAnsi="仿宋" w:eastAsia="仿宋"/>
          <w:sz w:val="32"/>
          <w:szCs w:val="32"/>
          <w:highlight w:val="none"/>
          <w:lang w:val="en-GB"/>
        </w:rPr>
      </w:pPr>
      <w:r>
        <w:rPr>
          <w:rFonts w:hint="eastAsia" w:ascii="仿宋" w:hAnsi="仿宋" w:eastAsia="仿宋"/>
          <w:sz w:val="32"/>
          <w:szCs w:val="32"/>
          <w:highlight w:val="none"/>
          <w:lang w:val="en-GB"/>
        </w:rPr>
        <w:t>债券因交易结算、非交易过户、选择权行使、债务承继</w:t>
      </w:r>
      <w:r>
        <w:rPr>
          <w:rFonts w:hint="eastAsia" w:ascii="仿宋" w:hAnsi="仿宋" w:eastAsia="仿宋"/>
          <w:sz w:val="32"/>
          <w:szCs w:val="32"/>
          <w:highlight w:val="none"/>
          <w:lang w:val="en-GB" w:eastAsia="zh-CN"/>
        </w:rPr>
        <w:t>、发行人主动债务管理、违约及风险处置</w:t>
      </w:r>
      <w:r>
        <w:rPr>
          <w:rFonts w:hint="eastAsia" w:ascii="仿宋" w:hAnsi="仿宋" w:eastAsia="仿宋"/>
          <w:sz w:val="32"/>
          <w:szCs w:val="32"/>
          <w:highlight w:val="none"/>
          <w:lang w:val="en-GB"/>
        </w:rPr>
        <w:t>等原因</w:t>
      </w:r>
      <w:r>
        <w:rPr>
          <w:rFonts w:hint="eastAsia" w:ascii="仿宋" w:hAnsi="仿宋" w:eastAsia="仿宋"/>
          <w:sz w:val="32"/>
          <w:szCs w:val="32"/>
          <w:highlight w:val="none"/>
          <w:lang w:val="en-GB" w:eastAsia="zh-CN"/>
        </w:rPr>
        <w:t>导致</w:t>
      </w:r>
      <w:r>
        <w:rPr>
          <w:rFonts w:hint="eastAsia" w:ascii="仿宋" w:hAnsi="仿宋" w:eastAsia="仿宋"/>
          <w:sz w:val="32"/>
          <w:szCs w:val="32"/>
          <w:highlight w:val="none"/>
          <w:lang w:val="en-GB"/>
        </w:rPr>
        <w:t>债券信息或债券持有人债券账户持有记录变动的，上海清算所按照法律法规、部门规章及管理部门规定，依据结算结果、申请材料或有效指令办理债券变更登记。</w:t>
      </w:r>
    </w:p>
    <w:p w14:paraId="2BB1E3A2">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hint="eastAsia" w:ascii="仿宋" w:hAnsi="仿宋" w:eastAsia="仿宋"/>
          <w:sz w:val="32"/>
          <w:szCs w:val="32"/>
          <w:highlight w:val="none"/>
          <w:lang w:val="en-GB"/>
        </w:rPr>
      </w:pPr>
      <w:r>
        <w:rPr>
          <w:rFonts w:hint="eastAsia" w:ascii="仿宋" w:hAnsi="仿宋" w:eastAsia="仿宋"/>
          <w:sz w:val="32"/>
          <w:szCs w:val="32"/>
          <w:highlight w:val="none"/>
          <w:lang w:val="en-GB"/>
        </w:rPr>
        <w:t>因债券交易导致债券持有人债券账户持有记录变动的，上海清算所依据债券交易结算结果办理债券变更登记。</w:t>
      </w:r>
    </w:p>
    <w:p w14:paraId="5E17DF20">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hint="eastAsia" w:ascii="仿宋" w:hAnsi="仿宋" w:eastAsia="仿宋"/>
          <w:sz w:val="32"/>
          <w:szCs w:val="32"/>
          <w:highlight w:val="none"/>
          <w:lang w:val="en-GB"/>
        </w:rPr>
      </w:pPr>
      <w:r>
        <w:rPr>
          <w:rFonts w:hint="eastAsia" w:ascii="仿宋" w:hAnsi="仿宋" w:eastAsia="仿宋"/>
          <w:sz w:val="32"/>
          <w:szCs w:val="32"/>
          <w:highlight w:val="none"/>
          <w:lang w:val="en-GB"/>
        </w:rPr>
        <w:t>因非交易过户导致债券持有人债券账户持有记录变动的，上海清算所依据有效的申请材料或指令，办理债券变更登记。</w:t>
      </w:r>
    </w:p>
    <w:p w14:paraId="5033DA6D">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hint="eastAsia" w:ascii="仿宋" w:hAnsi="仿宋" w:eastAsia="仿宋"/>
          <w:sz w:val="32"/>
          <w:szCs w:val="32"/>
          <w:highlight w:val="none"/>
          <w:lang w:val="en-GB"/>
        </w:rPr>
      </w:pPr>
      <w:r>
        <w:rPr>
          <w:rFonts w:hint="eastAsia" w:ascii="仿宋" w:hAnsi="仿宋" w:eastAsia="仿宋"/>
          <w:sz w:val="32"/>
          <w:szCs w:val="32"/>
          <w:highlight w:val="none"/>
          <w:lang w:val="en-GB" w:eastAsia="zh-CN"/>
        </w:rPr>
        <w:t>因</w:t>
      </w:r>
      <w:r>
        <w:rPr>
          <w:rFonts w:hint="eastAsia" w:ascii="仿宋" w:hAnsi="仿宋" w:eastAsia="仿宋"/>
          <w:sz w:val="32"/>
          <w:szCs w:val="32"/>
          <w:highlight w:val="none"/>
          <w:lang w:val="en-GB"/>
        </w:rPr>
        <w:t>选择权行使导致债券信息或债券持有人债券账户持有记录变动的，上海清算所依据发行文件约定、权利行使人的有效申请，办理债券变更登记。</w:t>
      </w:r>
    </w:p>
    <w:p w14:paraId="0955F972">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hint="eastAsia" w:ascii="仿宋" w:hAnsi="仿宋" w:eastAsia="仿宋"/>
          <w:sz w:val="32"/>
          <w:szCs w:val="32"/>
          <w:highlight w:val="none"/>
          <w:lang w:val="en-GB"/>
        </w:rPr>
      </w:pPr>
      <w:r>
        <w:rPr>
          <w:rFonts w:hint="eastAsia" w:ascii="仿宋" w:hAnsi="仿宋" w:eastAsia="仿宋"/>
          <w:sz w:val="32"/>
          <w:szCs w:val="32"/>
          <w:highlight w:val="none"/>
          <w:lang w:val="en-GB"/>
        </w:rPr>
        <w:t>因重组、分立、合并等原因导致</w:t>
      </w:r>
      <w:r>
        <w:rPr>
          <w:rFonts w:hint="eastAsia" w:ascii="仿宋" w:hAnsi="仿宋" w:eastAsia="仿宋"/>
          <w:sz w:val="32"/>
          <w:szCs w:val="32"/>
          <w:highlight w:val="none"/>
          <w:lang w:val="en-GB" w:eastAsia="zh-CN"/>
        </w:rPr>
        <w:t>债券</w:t>
      </w:r>
      <w:r>
        <w:rPr>
          <w:rFonts w:hint="eastAsia" w:ascii="仿宋" w:hAnsi="仿宋" w:eastAsia="仿宋"/>
          <w:sz w:val="32"/>
          <w:szCs w:val="32"/>
          <w:highlight w:val="none"/>
          <w:lang w:val="en-GB"/>
        </w:rPr>
        <w:t>发行人变更的，上海清算所依据债务承继人提交的有效申请材料，办理债券变更登记。</w:t>
      </w:r>
    </w:p>
    <w:p w14:paraId="78BAFFBA">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hint="eastAsia" w:ascii="仿宋" w:hAnsi="仿宋" w:eastAsia="仿宋"/>
          <w:sz w:val="32"/>
          <w:szCs w:val="32"/>
          <w:highlight w:val="none"/>
          <w:lang w:val="en-GB"/>
        </w:rPr>
      </w:pPr>
      <w:r>
        <w:rPr>
          <w:rFonts w:hint="eastAsia" w:ascii="仿宋" w:hAnsi="仿宋" w:eastAsia="仿宋"/>
          <w:sz w:val="32"/>
          <w:szCs w:val="32"/>
          <w:highlight w:val="none"/>
          <w:lang w:val="en-GB" w:eastAsia="zh-CN"/>
        </w:rPr>
        <w:t>因发行人主动债务管理、</w:t>
      </w:r>
      <w:r>
        <w:rPr>
          <w:rFonts w:hint="eastAsia" w:ascii="仿宋" w:hAnsi="仿宋" w:eastAsia="仿宋"/>
          <w:sz w:val="32"/>
          <w:szCs w:val="32"/>
          <w:highlight w:val="none"/>
          <w:lang w:val="en-GB"/>
        </w:rPr>
        <w:t>违约及风险处置</w:t>
      </w:r>
      <w:r>
        <w:rPr>
          <w:rFonts w:hint="eastAsia" w:ascii="仿宋" w:hAnsi="仿宋" w:eastAsia="仿宋"/>
          <w:sz w:val="32"/>
          <w:szCs w:val="32"/>
          <w:highlight w:val="none"/>
          <w:lang w:val="en-GB" w:eastAsia="zh-CN"/>
        </w:rPr>
        <w:t>，导致</w:t>
      </w:r>
      <w:r>
        <w:rPr>
          <w:rFonts w:hint="eastAsia" w:ascii="仿宋" w:hAnsi="仿宋" w:eastAsia="仿宋"/>
          <w:sz w:val="32"/>
          <w:szCs w:val="32"/>
          <w:highlight w:val="none"/>
          <w:lang w:val="en-GB"/>
        </w:rPr>
        <w:t>债券</w:t>
      </w:r>
      <w:r>
        <w:rPr>
          <w:rFonts w:hint="eastAsia" w:ascii="仿宋" w:hAnsi="仿宋" w:eastAsia="仿宋"/>
          <w:sz w:val="32"/>
          <w:szCs w:val="32"/>
          <w:highlight w:val="none"/>
          <w:lang w:val="en-GB" w:eastAsia="zh-CN"/>
        </w:rPr>
        <w:t>信息或</w:t>
      </w:r>
      <w:r>
        <w:rPr>
          <w:rFonts w:hint="eastAsia" w:ascii="仿宋" w:hAnsi="仿宋" w:eastAsia="仿宋"/>
          <w:sz w:val="32"/>
          <w:szCs w:val="32"/>
          <w:highlight w:val="none"/>
          <w:lang w:val="en-GB"/>
        </w:rPr>
        <w:t>债券持有人债券</w:t>
      </w:r>
      <w:r>
        <w:rPr>
          <w:rFonts w:hint="eastAsia" w:ascii="仿宋" w:hAnsi="仿宋" w:eastAsia="仿宋"/>
          <w:sz w:val="32"/>
          <w:szCs w:val="32"/>
          <w:highlight w:val="none"/>
          <w:lang w:val="en-GB" w:eastAsia="zh-CN"/>
        </w:rPr>
        <w:t>账户</w:t>
      </w:r>
      <w:r>
        <w:rPr>
          <w:rFonts w:hint="eastAsia" w:ascii="仿宋" w:hAnsi="仿宋" w:eastAsia="仿宋"/>
          <w:sz w:val="32"/>
          <w:szCs w:val="32"/>
          <w:highlight w:val="none"/>
          <w:lang w:val="en-GB"/>
        </w:rPr>
        <w:t>持有</w:t>
      </w:r>
      <w:r>
        <w:rPr>
          <w:rFonts w:hint="eastAsia" w:ascii="仿宋" w:hAnsi="仿宋" w:eastAsia="仿宋"/>
          <w:sz w:val="32"/>
          <w:szCs w:val="32"/>
          <w:highlight w:val="none"/>
          <w:lang w:val="en-GB" w:eastAsia="zh-CN"/>
        </w:rPr>
        <w:t>记录</w:t>
      </w:r>
      <w:r>
        <w:rPr>
          <w:rFonts w:hint="eastAsia" w:ascii="仿宋" w:hAnsi="仿宋" w:eastAsia="仿宋"/>
          <w:sz w:val="32"/>
          <w:szCs w:val="32"/>
          <w:highlight w:val="none"/>
          <w:lang w:val="en-GB"/>
        </w:rPr>
        <w:t>变动的</w:t>
      </w:r>
      <w:r>
        <w:rPr>
          <w:rFonts w:hint="eastAsia" w:ascii="仿宋" w:hAnsi="仿宋" w:eastAsia="仿宋"/>
          <w:sz w:val="32"/>
          <w:szCs w:val="32"/>
          <w:highlight w:val="none"/>
          <w:lang w:val="en-GB" w:eastAsia="zh-CN"/>
        </w:rPr>
        <w:t>，</w:t>
      </w:r>
      <w:r>
        <w:rPr>
          <w:rFonts w:hint="eastAsia" w:ascii="仿宋" w:hAnsi="仿宋" w:eastAsia="仿宋"/>
          <w:sz w:val="32"/>
          <w:szCs w:val="32"/>
          <w:highlight w:val="none"/>
          <w:lang w:val="en-GB"/>
        </w:rPr>
        <w:t>上海清算所依据</w:t>
      </w:r>
      <w:r>
        <w:rPr>
          <w:rFonts w:hint="eastAsia" w:ascii="仿宋" w:hAnsi="仿宋" w:eastAsia="仿宋"/>
          <w:sz w:val="32"/>
          <w:szCs w:val="32"/>
          <w:highlight w:val="none"/>
          <w:lang w:val="en-GB" w:eastAsia="zh-CN"/>
        </w:rPr>
        <w:t>申请人提交的有效申请材料，</w:t>
      </w:r>
      <w:r>
        <w:rPr>
          <w:rFonts w:hint="eastAsia" w:ascii="仿宋" w:hAnsi="仿宋" w:eastAsia="仿宋"/>
          <w:sz w:val="32"/>
          <w:szCs w:val="32"/>
          <w:highlight w:val="none"/>
          <w:lang w:val="en-GB"/>
        </w:rPr>
        <w:t>办理债券变更登记</w:t>
      </w:r>
      <w:r>
        <w:rPr>
          <w:rFonts w:hint="eastAsia" w:ascii="仿宋" w:hAnsi="仿宋" w:eastAsia="仿宋"/>
          <w:sz w:val="32"/>
          <w:szCs w:val="32"/>
          <w:highlight w:val="none"/>
          <w:lang w:val="en-GB" w:eastAsia="zh-CN"/>
        </w:rPr>
        <w:t>。</w:t>
      </w:r>
    </w:p>
    <w:p w14:paraId="3744AB85">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hint="eastAsia" w:ascii="仿宋" w:hAnsi="仿宋" w:eastAsia="仿宋"/>
          <w:sz w:val="32"/>
          <w:szCs w:val="32"/>
          <w:highlight w:val="none"/>
          <w:lang w:val="en-GB"/>
        </w:rPr>
      </w:pPr>
      <w:r>
        <w:rPr>
          <w:rFonts w:hint="eastAsia" w:ascii="仿宋" w:hAnsi="仿宋" w:eastAsia="仿宋"/>
          <w:sz w:val="32"/>
          <w:szCs w:val="32"/>
          <w:highlight w:val="none"/>
          <w:lang w:val="en-GB"/>
        </w:rPr>
        <w:t>上海清算所可依法为债券持有人提供债券质押登记服务，或者依照法律法规</w:t>
      </w:r>
      <w:r>
        <w:rPr>
          <w:rFonts w:hint="eastAsia" w:ascii="仿宋" w:hAnsi="仿宋" w:eastAsia="仿宋" w:cs="Times New Roman"/>
          <w:sz w:val="32"/>
          <w:szCs w:val="32"/>
          <w:highlight w:val="none"/>
          <w:lang w:val="en-GB" w:eastAsia="zh-CN"/>
        </w:rPr>
        <w:t>、部门规章或有权机关要求</w:t>
      </w:r>
      <w:r>
        <w:rPr>
          <w:rFonts w:hint="eastAsia" w:ascii="仿宋" w:hAnsi="仿宋" w:eastAsia="仿宋"/>
          <w:sz w:val="32"/>
          <w:szCs w:val="32"/>
          <w:highlight w:val="none"/>
          <w:lang w:val="en-GB"/>
        </w:rPr>
        <w:t>对债券进行冻结。债券被质押或冻结时，上海清算所在相应债券账户内加以明确标记，以表明债券权利受到限制。</w:t>
      </w:r>
    </w:p>
    <w:p w14:paraId="0D10352F">
      <w:pPr>
        <w:pStyle w:val="19"/>
        <w:pageBreakBefore w:val="0"/>
        <w:widowControl w:val="0"/>
        <w:numPr>
          <w:ilvl w:val="0"/>
          <w:numId w:val="3"/>
        </w:numPr>
        <w:tabs>
          <w:tab w:val="left" w:pos="0"/>
          <w:tab w:val="left" w:pos="1985"/>
          <w:tab w:val="left" w:pos="2340"/>
        </w:tabs>
        <w:kinsoku/>
        <w:wordWrap/>
        <w:overflowPunct/>
        <w:topLinePunct w:val="0"/>
        <w:bidi w:val="0"/>
        <w:adjustRightInd w:val="0"/>
        <w:snapToGrid w:val="0"/>
        <w:spacing w:line="580" w:lineRule="exact"/>
        <w:jc w:val="center"/>
        <w:textAlignment w:val="auto"/>
        <w:rPr>
          <w:rFonts w:hint="eastAsia" w:ascii="楷体" w:hAnsi="楷体" w:eastAsia="楷体" w:cs="楷体"/>
          <w:b w:val="0"/>
          <w:bCs w:val="0"/>
          <w:kern w:val="44"/>
          <w:sz w:val="32"/>
          <w:szCs w:val="32"/>
          <w:highlight w:val="none"/>
        </w:rPr>
      </w:pPr>
      <w:r>
        <w:rPr>
          <w:rFonts w:hint="eastAsia" w:ascii="楷体" w:hAnsi="楷体" w:eastAsia="楷体" w:cs="楷体"/>
          <w:b w:val="0"/>
          <w:bCs w:val="0"/>
          <w:kern w:val="44"/>
          <w:sz w:val="32"/>
          <w:szCs w:val="32"/>
          <w:highlight w:val="none"/>
        </w:rPr>
        <w:t>注销登记</w:t>
      </w:r>
    </w:p>
    <w:p w14:paraId="214392AF">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ascii="仿宋" w:hAnsi="仿宋" w:eastAsia="仿宋"/>
          <w:sz w:val="32"/>
          <w:szCs w:val="32"/>
          <w:highlight w:val="none"/>
          <w:lang w:val="en-GB"/>
        </w:rPr>
      </w:pPr>
      <w:r>
        <w:rPr>
          <w:rFonts w:hint="eastAsia" w:ascii="仿宋" w:hAnsi="仿宋" w:eastAsia="仿宋"/>
          <w:sz w:val="32"/>
          <w:szCs w:val="32"/>
          <w:highlight w:val="none"/>
          <w:lang w:val="en-GB"/>
        </w:rPr>
        <w:t>因到期兑付、提前兑付、选择权行使、资本工具减记或其他原因导致债权债务关系终止的，上海清算所按照相关业务规定办理债券注销登记。</w:t>
      </w:r>
    </w:p>
    <w:p w14:paraId="28110145">
      <w:pPr>
        <w:pStyle w:val="18"/>
        <w:keepNext w:val="0"/>
        <w:keepLines w:val="0"/>
        <w:pageBreakBefore w:val="0"/>
        <w:widowControl w:val="0"/>
        <w:numPr>
          <w:ilvl w:val="0"/>
          <w:numId w:val="1"/>
        </w:numPr>
        <w:kinsoku/>
        <w:wordWrap/>
        <w:overflowPunct/>
        <w:topLinePunct w:val="0"/>
        <w:bidi w:val="0"/>
        <w:adjustRightInd w:val="0"/>
        <w:snapToGrid w:val="0"/>
        <w:spacing w:before="0" w:after="0" w:line="580" w:lineRule="exact"/>
        <w:ind w:left="0" w:firstLine="0"/>
        <w:textAlignment w:val="auto"/>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lang w:eastAsia="zh-CN"/>
        </w:rPr>
        <w:t>债券托管相关服务</w:t>
      </w:r>
    </w:p>
    <w:p w14:paraId="0266BA35">
      <w:pPr>
        <w:pStyle w:val="18"/>
        <w:keepNext w:val="0"/>
        <w:keepLines w:val="0"/>
        <w:pageBreakBefore w:val="0"/>
        <w:widowControl w:val="0"/>
        <w:numPr>
          <w:ilvl w:val="0"/>
          <w:numId w:val="4"/>
        </w:numPr>
        <w:kinsoku/>
        <w:wordWrap/>
        <w:overflowPunct/>
        <w:topLinePunct w:val="0"/>
        <w:bidi w:val="0"/>
        <w:adjustRightInd w:val="0"/>
        <w:snapToGrid w:val="0"/>
        <w:spacing w:before="0" w:after="0" w:line="580" w:lineRule="exact"/>
        <w:ind w:left="0" w:firstLine="0"/>
        <w:textAlignment w:val="auto"/>
        <w:rPr>
          <w:rFonts w:hint="eastAsia" w:ascii="楷体" w:hAnsi="楷体" w:eastAsia="楷体" w:cs="楷体"/>
          <w:b w:val="0"/>
          <w:bCs w:val="0"/>
          <w:sz w:val="32"/>
          <w:szCs w:val="32"/>
          <w:highlight w:val="none"/>
          <w:lang w:eastAsia="zh-CN"/>
        </w:rPr>
      </w:pPr>
      <w:r>
        <w:rPr>
          <w:rFonts w:hint="eastAsia" w:ascii="楷体" w:hAnsi="楷体" w:eastAsia="楷体" w:cs="楷体"/>
          <w:b w:val="0"/>
          <w:bCs w:val="0"/>
          <w:sz w:val="32"/>
          <w:szCs w:val="32"/>
          <w:highlight w:val="none"/>
          <w:lang w:eastAsia="zh-CN"/>
        </w:rPr>
        <w:t>债券持有人查询服务</w:t>
      </w:r>
    </w:p>
    <w:p w14:paraId="2DC06100">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ascii="仿宋" w:hAnsi="仿宋" w:eastAsia="仿宋"/>
          <w:sz w:val="32"/>
          <w:szCs w:val="32"/>
          <w:highlight w:val="none"/>
          <w:lang w:val="en-GB"/>
        </w:rPr>
      </w:pPr>
      <w:r>
        <w:rPr>
          <w:rFonts w:hint="eastAsia" w:ascii="仿宋" w:hAnsi="仿宋" w:eastAsia="仿宋"/>
          <w:sz w:val="32"/>
          <w:szCs w:val="32"/>
          <w:highlight w:val="none"/>
          <w:lang w:val="en-GB"/>
        </w:rPr>
        <w:t>上海清算所对债券持有人持有的债券进行集中保管，并对</w:t>
      </w:r>
      <w:r>
        <w:rPr>
          <w:rFonts w:hint="eastAsia" w:ascii="仿宋" w:hAnsi="仿宋" w:eastAsia="仿宋"/>
          <w:sz w:val="32"/>
          <w:szCs w:val="32"/>
          <w:highlight w:val="none"/>
          <w:lang w:val="en-GB" w:eastAsia="zh-CN"/>
        </w:rPr>
        <w:t>其</w:t>
      </w:r>
      <w:r>
        <w:rPr>
          <w:rFonts w:hint="eastAsia" w:ascii="仿宋" w:hAnsi="仿宋" w:eastAsia="仿宋"/>
          <w:sz w:val="32"/>
          <w:szCs w:val="32"/>
          <w:highlight w:val="none"/>
          <w:lang w:val="en-GB"/>
        </w:rPr>
        <w:t>持有债券的相关权益进行管理和维护。</w:t>
      </w:r>
    </w:p>
    <w:p w14:paraId="479E6BAF">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ascii="仿宋" w:hAnsi="仿宋" w:eastAsia="仿宋"/>
          <w:sz w:val="32"/>
          <w:szCs w:val="32"/>
          <w:highlight w:val="none"/>
          <w:lang w:val="en-GB"/>
        </w:rPr>
      </w:pPr>
      <w:r>
        <w:rPr>
          <w:rFonts w:hint="eastAsia" w:ascii="仿宋" w:hAnsi="仿宋" w:eastAsia="仿宋"/>
          <w:sz w:val="32"/>
          <w:szCs w:val="32"/>
          <w:highlight w:val="none"/>
          <w:lang w:val="en-GB"/>
        </w:rPr>
        <w:t>债券持有人持有债券，以其债券账户内记载的债券余额为准。债券持有人可向上海清算所查询自身债券账户内债券持有及变动情况。结算代理人可查询其代理结算的债券账户内债券持有及变动情况。</w:t>
      </w:r>
      <w:r>
        <w:rPr>
          <w:rFonts w:hint="eastAsia" w:ascii="仿宋" w:hAnsi="仿宋" w:eastAsia="仿宋"/>
          <w:sz w:val="32"/>
          <w:szCs w:val="32"/>
          <w:highlight w:val="none"/>
        </w:rPr>
        <w:t>承担债券二级托管职能的托管机构</w:t>
      </w:r>
      <w:r>
        <w:rPr>
          <w:rFonts w:hint="eastAsia" w:ascii="仿宋" w:hAnsi="仿宋" w:eastAsia="仿宋"/>
          <w:sz w:val="32"/>
          <w:szCs w:val="32"/>
          <w:highlight w:val="none"/>
          <w:lang w:val="en-US" w:eastAsia="zh-CN"/>
        </w:rPr>
        <w:t>可查询其代理总账户内</w:t>
      </w:r>
      <w:r>
        <w:rPr>
          <w:rFonts w:hint="eastAsia" w:ascii="仿宋" w:hAnsi="仿宋" w:eastAsia="仿宋"/>
          <w:sz w:val="32"/>
          <w:szCs w:val="32"/>
          <w:highlight w:val="none"/>
          <w:lang w:val="en-GB"/>
        </w:rPr>
        <w:t>债券持有及变动情况</w:t>
      </w:r>
      <w:r>
        <w:rPr>
          <w:rFonts w:hint="eastAsia" w:ascii="仿宋" w:hAnsi="仿宋" w:eastAsia="仿宋"/>
          <w:sz w:val="32"/>
          <w:szCs w:val="32"/>
          <w:highlight w:val="none"/>
          <w:lang w:val="en-GB" w:eastAsia="zh-CN"/>
        </w:rPr>
        <w:t>。</w:t>
      </w:r>
    </w:p>
    <w:p w14:paraId="0CF6820E">
      <w:pPr>
        <w:pStyle w:val="19"/>
        <w:numPr>
          <w:ilvl w:val="0"/>
          <w:numId w:val="0"/>
        </w:numPr>
        <w:tabs>
          <w:tab w:val="left" w:pos="0"/>
          <w:tab w:val="left" w:pos="1985"/>
          <w:tab w:val="left" w:pos="2340"/>
        </w:tabs>
        <w:adjustRightInd w:val="0"/>
        <w:snapToGrid w:val="0"/>
        <w:spacing w:line="580" w:lineRule="exact"/>
        <w:ind w:left="0" w:firstLine="640" w:firstLineChars="200"/>
        <w:rPr>
          <w:rFonts w:ascii="仿宋" w:hAnsi="仿宋" w:eastAsia="仿宋"/>
          <w:sz w:val="32"/>
          <w:szCs w:val="32"/>
          <w:highlight w:val="none"/>
          <w:lang w:val="en-GB"/>
        </w:rPr>
      </w:pPr>
      <w:r>
        <w:rPr>
          <w:rFonts w:hint="eastAsia" w:ascii="仿宋" w:hAnsi="仿宋" w:eastAsia="仿宋"/>
          <w:sz w:val="32"/>
          <w:szCs w:val="32"/>
          <w:highlight w:val="none"/>
          <w:lang w:val="en-GB" w:eastAsia="zh-CN"/>
        </w:rPr>
        <w:t>受托人</w:t>
      </w:r>
      <w:r>
        <w:rPr>
          <w:rFonts w:hint="eastAsia" w:ascii="仿宋" w:hAnsi="仿宋" w:eastAsia="仿宋"/>
          <w:sz w:val="32"/>
          <w:szCs w:val="32"/>
          <w:highlight w:val="none"/>
          <w:lang w:val="en-GB"/>
        </w:rPr>
        <w:t>需要查询债券持有人相关业务情况的，应向上海清算所出具该债券持有人的书面委托。</w:t>
      </w:r>
    </w:p>
    <w:p w14:paraId="0217D298">
      <w:pPr>
        <w:pStyle w:val="19"/>
        <w:pageBreakBefore w:val="0"/>
        <w:widowControl w:val="0"/>
        <w:tabs>
          <w:tab w:val="left" w:pos="2127"/>
        </w:tabs>
        <w:kinsoku/>
        <w:wordWrap/>
        <w:overflowPunct/>
        <w:topLinePunct w:val="0"/>
        <w:bidi w:val="0"/>
        <w:adjustRightInd w:val="0"/>
        <w:snapToGrid w:val="0"/>
        <w:spacing w:line="580" w:lineRule="exact"/>
        <w:ind w:firstLine="640" w:firstLineChars="200"/>
        <w:textAlignment w:val="auto"/>
        <w:rPr>
          <w:rFonts w:ascii="仿宋" w:hAnsi="仿宋" w:eastAsia="仿宋" w:cs="宋体"/>
          <w:kern w:val="0"/>
          <w:sz w:val="32"/>
          <w:szCs w:val="32"/>
          <w:highlight w:val="none"/>
        </w:rPr>
      </w:pPr>
      <w:r>
        <w:rPr>
          <w:rFonts w:hint="eastAsia" w:ascii="仿宋" w:hAnsi="仿宋" w:eastAsia="仿宋" w:cs="宋体"/>
          <w:kern w:val="0"/>
          <w:sz w:val="32"/>
          <w:szCs w:val="32"/>
          <w:highlight w:val="none"/>
        </w:rPr>
        <w:t>债券持有人对债券账户</w:t>
      </w:r>
      <w:r>
        <w:rPr>
          <w:rFonts w:hint="eastAsia" w:ascii="仿宋" w:hAnsi="仿宋" w:eastAsia="仿宋" w:cs="宋体"/>
          <w:kern w:val="0"/>
          <w:sz w:val="32"/>
          <w:szCs w:val="32"/>
          <w:highlight w:val="none"/>
          <w:lang w:eastAsia="zh-CN"/>
        </w:rPr>
        <w:t>内</w:t>
      </w:r>
      <w:r>
        <w:rPr>
          <w:rFonts w:hint="eastAsia" w:ascii="仿宋" w:hAnsi="仿宋" w:eastAsia="仿宋" w:cs="宋体"/>
          <w:kern w:val="0"/>
          <w:sz w:val="32"/>
          <w:szCs w:val="32"/>
          <w:highlight w:val="none"/>
        </w:rPr>
        <w:t>记载的</w:t>
      </w:r>
      <w:r>
        <w:rPr>
          <w:rFonts w:hint="eastAsia" w:ascii="仿宋" w:hAnsi="仿宋" w:eastAsia="仿宋" w:cs="宋体"/>
          <w:kern w:val="0"/>
          <w:sz w:val="32"/>
          <w:szCs w:val="32"/>
          <w:highlight w:val="none"/>
          <w:lang w:eastAsia="zh-CN"/>
        </w:rPr>
        <w:t>债券</w:t>
      </w:r>
      <w:r>
        <w:rPr>
          <w:rFonts w:hint="eastAsia" w:ascii="仿宋" w:hAnsi="仿宋" w:eastAsia="仿宋" w:cs="宋体"/>
          <w:kern w:val="0"/>
          <w:sz w:val="32"/>
          <w:szCs w:val="32"/>
          <w:highlight w:val="none"/>
        </w:rPr>
        <w:t>余额有异议的，可向上海清算所申请查复。</w:t>
      </w:r>
    </w:p>
    <w:p w14:paraId="01A3F9E4">
      <w:pPr>
        <w:pStyle w:val="19"/>
        <w:pageBreakBefore w:val="0"/>
        <w:widowControl w:val="0"/>
        <w:numPr>
          <w:ilvl w:val="0"/>
          <w:numId w:val="2"/>
        </w:numPr>
        <w:tabs>
          <w:tab w:val="left" w:pos="0"/>
          <w:tab w:val="left" w:pos="1985"/>
          <w:tab w:val="left" w:pos="2127"/>
          <w:tab w:val="left" w:pos="2340"/>
        </w:tabs>
        <w:kinsoku/>
        <w:wordWrap/>
        <w:overflowPunct/>
        <w:topLinePunct w:val="0"/>
        <w:bidi w:val="0"/>
        <w:adjustRightInd w:val="0"/>
        <w:snapToGrid w:val="0"/>
        <w:spacing w:line="580" w:lineRule="exact"/>
        <w:ind w:left="0" w:firstLine="600"/>
        <w:textAlignment w:val="auto"/>
        <w:rPr>
          <w:rFonts w:ascii="仿宋" w:hAnsi="仿宋" w:eastAsia="仿宋" w:cs="宋体"/>
          <w:kern w:val="0"/>
          <w:sz w:val="32"/>
          <w:szCs w:val="32"/>
          <w:highlight w:val="none"/>
        </w:rPr>
      </w:pPr>
      <w:r>
        <w:rPr>
          <w:rFonts w:hint="eastAsia" w:ascii="仿宋" w:hAnsi="仿宋" w:eastAsia="仿宋" w:cs="宋体"/>
          <w:kern w:val="0"/>
          <w:sz w:val="32"/>
          <w:szCs w:val="32"/>
          <w:highlight w:val="none"/>
          <w:lang w:val="en-GB" w:eastAsia="zh-CN"/>
        </w:rPr>
        <w:t>债券发行人可向</w:t>
      </w:r>
      <w:r>
        <w:rPr>
          <w:rFonts w:hint="eastAsia" w:ascii="仿宋" w:hAnsi="仿宋" w:eastAsia="仿宋" w:cs="宋体"/>
          <w:kern w:val="0"/>
          <w:sz w:val="32"/>
          <w:szCs w:val="32"/>
          <w:highlight w:val="none"/>
          <w:lang w:val="en-GB"/>
        </w:rPr>
        <w:t>上海清算所</w:t>
      </w:r>
      <w:r>
        <w:rPr>
          <w:rFonts w:hint="eastAsia" w:ascii="仿宋" w:hAnsi="仿宋" w:eastAsia="仿宋" w:cs="宋体"/>
          <w:kern w:val="0"/>
          <w:sz w:val="32"/>
          <w:szCs w:val="32"/>
          <w:highlight w:val="none"/>
          <w:lang w:val="en-GB" w:eastAsia="zh-CN"/>
        </w:rPr>
        <w:t>申请查询、</w:t>
      </w:r>
      <w:r>
        <w:rPr>
          <w:rFonts w:hint="eastAsia" w:ascii="仿宋" w:hAnsi="仿宋" w:eastAsia="仿宋" w:cs="宋体"/>
          <w:kern w:val="0"/>
          <w:sz w:val="32"/>
          <w:szCs w:val="32"/>
          <w:highlight w:val="none"/>
          <w:lang w:val="en-GB"/>
        </w:rPr>
        <w:t>定期</w:t>
      </w:r>
      <w:r>
        <w:rPr>
          <w:rFonts w:hint="eastAsia" w:ascii="仿宋" w:hAnsi="仿宋" w:eastAsia="仿宋" w:cs="宋体"/>
          <w:kern w:val="0"/>
          <w:sz w:val="32"/>
          <w:szCs w:val="32"/>
          <w:highlight w:val="none"/>
          <w:lang w:val="en-GB" w:eastAsia="zh-CN"/>
        </w:rPr>
        <w:t>推送</w:t>
      </w:r>
      <w:r>
        <w:rPr>
          <w:rFonts w:hint="eastAsia" w:ascii="仿宋" w:hAnsi="仿宋" w:eastAsia="仿宋" w:cs="宋体"/>
          <w:kern w:val="0"/>
          <w:sz w:val="32"/>
          <w:szCs w:val="32"/>
          <w:highlight w:val="none"/>
          <w:lang w:val="en-GB"/>
        </w:rPr>
        <w:t>债券持有人名册。债券持有人会议召集人</w:t>
      </w:r>
      <w:r>
        <w:rPr>
          <w:rFonts w:hint="eastAsia" w:ascii="仿宋" w:hAnsi="仿宋" w:eastAsia="仿宋" w:cs="宋体"/>
          <w:kern w:val="0"/>
          <w:sz w:val="32"/>
          <w:szCs w:val="32"/>
          <w:highlight w:val="none"/>
          <w:lang w:val="en-GB" w:eastAsia="zh-CN"/>
        </w:rPr>
        <w:t>等特定机构</w:t>
      </w:r>
      <w:r>
        <w:rPr>
          <w:rFonts w:hint="eastAsia" w:ascii="仿宋" w:hAnsi="仿宋" w:eastAsia="仿宋" w:cs="宋体"/>
          <w:kern w:val="0"/>
          <w:sz w:val="32"/>
          <w:szCs w:val="32"/>
          <w:highlight w:val="none"/>
          <w:lang w:val="en-GB"/>
        </w:rPr>
        <w:t>因</w:t>
      </w:r>
      <w:r>
        <w:rPr>
          <w:rFonts w:hint="eastAsia" w:ascii="仿宋" w:hAnsi="仿宋" w:eastAsia="仿宋" w:cs="宋体"/>
          <w:kern w:val="0"/>
          <w:sz w:val="32"/>
          <w:szCs w:val="32"/>
          <w:highlight w:val="none"/>
          <w:lang w:val="en-GB" w:eastAsia="zh-CN"/>
        </w:rPr>
        <w:t>履行相关职责也可向上海清算所申请</w:t>
      </w:r>
      <w:r>
        <w:rPr>
          <w:rFonts w:hint="eastAsia" w:ascii="仿宋" w:hAnsi="仿宋" w:eastAsia="仿宋" w:cs="宋体"/>
          <w:kern w:val="0"/>
          <w:sz w:val="32"/>
          <w:szCs w:val="32"/>
          <w:highlight w:val="none"/>
          <w:lang w:val="en-GB"/>
        </w:rPr>
        <w:t>查询</w:t>
      </w:r>
      <w:r>
        <w:rPr>
          <w:rFonts w:hint="eastAsia" w:ascii="仿宋" w:hAnsi="仿宋" w:eastAsia="仿宋" w:cs="宋体"/>
          <w:kern w:val="0"/>
          <w:sz w:val="32"/>
          <w:szCs w:val="32"/>
          <w:highlight w:val="none"/>
          <w:lang w:val="en-GB" w:eastAsia="zh-CN"/>
        </w:rPr>
        <w:t>债券</w:t>
      </w:r>
      <w:r>
        <w:rPr>
          <w:rFonts w:hint="eastAsia" w:ascii="仿宋" w:hAnsi="仿宋" w:eastAsia="仿宋" w:cs="宋体"/>
          <w:kern w:val="0"/>
          <w:sz w:val="32"/>
          <w:szCs w:val="32"/>
          <w:highlight w:val="none"/>
          <w:lang w:val="en-GB"/>
        </w:rPr>
        <w:t>持有人名册</w:t>
      </w:r>
      <w:r>
        <w:rPr>
          <w:rFonts w:hint="eastAsia" w:ascii="仿宋" w:hAnsi="仿宋" w:eastAsia="仿宋" w:cs="宋体"/>
          <w:kern w:val="0"/>
          <w:sz w:val="32"/>
          <w:szCs w:val="32"/>
          <w:highlight w:val="none"/>
        </w:rPr>
        <w:t>。</w:t>
      </w:r>
    </w:p>
    <w:p w14:paraId="4972BF8F">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ascii="仿宋" w:hAnsi="仿宋" w:eastAsia="仿宋"/>
          <w:sz w:val="32"/>
          <w:szCs w:val="32"/>
          <w:highlight w:val="none"/>
          <w:lang w:val="en-GB"/>
        </w:rPr>
      </w:pPr>
      <w:r>
        <w:rPr>
          <w:rFonts w:hint="eastAsia" w:ascii="仿宋" w:hAnsi="仿宋" w:eastAsia="仿宋"/>
          <w:sz w:val="32"/>
          <w:szCs w:val="32"/>
          <w:highlight w:val="none"/>
          <w:lang w:val="en-GB"/>
        </w:rPr>
        <w:t>上海清算所对债券持有人的债券登记托管</w:t>
      </w:r>
      <w:r>
        <w:rPr>
          <w:rFonts w:hint="eastAsia" w:ascii="仿宋" w:hAnsi="仿宋" w:eastAsia="仿宋"/>
          <w:sz w:val="32"/>
          <w:szCs w:val="32"/>
          <w:highlight w:val="none"/>
          <w:lang w:val="en-GB" w:eastAsia="zh-CN"/>
        </w:rPr>
        <w:t>结算数据</w:t>
      </w:r>
      <w:r>
        <w:rPr>
          <w:rFonts w:hint="eastAsia" w:ascii="仿宋" w:hAnsi="仿宋" w:eastAsia="仿宋"/>
          <w:sz w:val="32"/>
          <w:szCs w:val="32"/>
          <w:highlight w:val="none"/>
          <w:lang w:val="en-GB"/>
        </w:rPr>
        <w:t>和相关资料负有保密义务，但在</w:t>
      </w:r>
      <w:r>
        <w:rPr>
          <w:rFonts w:hint="eastAsia" w:ascii="仿宋" w:hAnsi="仿宋" w:eastAsia="仿宋"/>
          <w:sz w:val="32"/>
          <w:szCs w:val="32"/>
          <w:highlight w:val="none"/>
          <w:lang w:val="en-GB" w:eastAsia="zh-CN"/>
        </w:rPr>
        <w:t>有权机关依照法定的程序和条件进行查询和取证或者法律法规规定的其他情形</w:t>
      </w:r>
      <w:r>
        <w:rPr>
          <w:rFonts w:hint="eastAsia" w:ascii="仿宋" w:hAnsi="仿宋" w:eastAsia="仿宋"/>
          <w:sz w:val="32"/>
          <w:szCs w:val="32"/>
          <w:highlight w:val="none"/>
          <w:lang w:val="en-GB"/>
        </w:rPr>
        <w:t>时，即使未得到债券持有人的明确许可，上海清算所也有义务向其提供债券持有人相关信息。上海清算所不对该类配合行为的后果承担任何责任。</w:t>
      </w:r>
    </w:p>
    <w:p w14:paraId="7D554F81">
      <w:pPr>
        <w:pStyle w:val="18"/>
        <w:keepNext w:val="0"/>
        <w:keepLines w:val="0"/>
        <w:pageBreakBefore w:val="0"/>
        <w:widowControl w:val="0"/>
        <w:numPr>
          <w:ilvl w:val="0"/>
          <w:numId w:val="4"/>
        </w:numPr>
        <w:kinsoku/>
        <w:wordWrap/>
        <w:overflowPunct/>
        <w:topLinePunct w:val="0"/>
        <w:bidi w:val="0"/>
        <w:adjustRightInd w:val="0"/>
        <w:snapToGrid w:val="0"/>
        <w:spacing w:before="0" w:after="0" w:line="580" w:lineRule="exact"/>
        <w:ind w:left="0" w:firstLine="0"/>
        <w:textAlignment w:val="auto"/>
        <w:rPr>
          <w:rFonts w:hint="eastAsia" w:ascii="楷体" w:hAnsi="楷体" w:eastAsia="楷体" w:cs="楷体"/>
          <w:b w:val="0"/>
          <w:bCs w:val="0"/>
          <w:sz w:val="32"/>
          <w:szCs w:val="32"/>
          <w:highlight w:val="none"/>
          <w:lang w:eastAsia="zh-CN"/>
        </w:rPr>
      </w:pPr>
      <w:r>
        <w:rPr>
          <w:rFonts w:hint="eastAsia" w:ascii="楷体" w:hAnsi="楷体" w:eastAsia="楷体" w:cs="楷体"/>
          <w:b w:val="0"/>
          <w:bCs w:val="0"/>
          <w:sz w:val="32"/>
          <w:szCs w:val="32"/>
          <w:highlight w:val="none"/>
          <w:lang w:eastAsia="zh-CN"/>
        </w:rPr>
        <w:t>代理付息兑付服务</w:t>
      </w:r>
    </w:p>
    <w:p w14:paraId="02AF42EB">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ascii="仿宋" w:hAnsi="仿宋" w:eastAsia="仿宋"/>
          <w:sz w:val="32"/>
          <w:szCs w:val="32"/>
          <w:highlight w:val="none"/>
          <w:lang w:val="en-GB"/>
        </w:rPr>
      </w:pPr>
      <w:r>
        <w:rPr>
          <w:rFonts w:hint="eastAsia" w:ascii="仿宋" w:hAnsi="仿宋" w:eastAsia="仿宋"/>
          <w:sz w:val="32"/>
          <w:szCs w:val="32"/>
          <w:highlight w:val="none"/>
          <w:lang w:val="en-GB"/>
        </w:rPr>
        <w:t>上海清算所为债券发行人提供代理拨付债券本息服务。</w:t>
      </w:r>
      <w:r>
        <w:rPr>
          <w:rFonts w:hint="eastAsia" w:ascii="仿宋" w:hAnsi="仿宋" w:eastAsia="仿宋"/>
          <w:sz w:val="32"/>
          <w:szCs w:val="32"/>
          <w:highlight w:val="none"/>
          <w:lang w:val="en-GB" w:eastAsia="zh-CN"/>
        </w:rPr>
        <w:t>债券</w:t>
      </w:r>
      <w:r>
        <w:rPr>
          <w:rFonts w:hint="eastAsia" w:ascii="仿宋" w:hAnsi="仿宋" w:eastAsia="仿宋"/>
          <w:sz w:val="32"/>
          <w:szCs w:val="32"/>
          <w:highlight w:val="none"/>
          <w:lang w:val="en-GB"/>
        </w:rPr>
        <w:t>发行人应在债券发行文件或发行协议中明确债券的付息及兑付方式。</w:t>
      </w:r>
    </w:p>
    <w:p w14:paraId="1718AEF1">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ascii="仿宋" w:hAnsi="仿宋" w:eastAsia="仿宋"/>
          <w:sz w:val="32"/>
          <w:szCs w:val="32"/>
          <w:highlight w:val="none"/>
          <w:lang w:val="en-GB"/>
        </w:rPr>
      </w:pPr>
      <w:r>
        <w:rPr>
          <w:rFonts w:hint="eastAsia" w:ascii="仿宋" w:hAnsi="仿宋" w:eastAsia="仿宋"/>
          <w:sz w:val="32"/>
          <w:szCs w:val="32"/>
          <w:highlight w:val="none"/>
          <w:lang w:val="en-GB"/>
        </w:rPr>
        <w:t>上海清算所于指定的付息兑付登记日，确定</w:t>
      </w:r>
      <w:r>
        <w:rPr>
          <w:rFonts w:hint="eastAsia" w:ascii="仿宋" w:hAnsi="仿宋" w:eastAsia="仿宋"/>
          <w:sz w:val="32"/>
          <w:szCs w:val="32"/>
          <w:highlight w:val="none"/>
          <w:lang w:val="en-GB" w:eastAsia="zh-CN"/>
        </w:rPr>
        <w:t>债券</w:t>
      </w:r>
      <w:r>
        <w:rPr>
          <w:rFonts w:hint="eastAsia" w:ascii="仿宋" w:hAnsi="仿宋" w:eastAsia="仿宋"/>
          <w:sz w:val="32"/>
          <w:szCs w:val="32"/>
          <w:highlight w:val="none"/>
          <w:lang w:val="en-GB"/>
        </w:rPr>
        <w:t>持有人名册，计算各</w:t>
      </w:r>
      <w:r>
        <w:rPr>
          <w:rFonts w:hint="eastAsia" w:ascii="仿宋" w:hAnsi="仿宋" w:eastAsia="仿宋"/>
          <w:sz w:val="32"/>
          <w:szCs w:val="32"/>
          <w:highlight w:val="none"/>
          <w:lang w:val="en-GB" w:eastAsia="zh-CN"/>
        </w:rPr>
        <w:t>债券</w:t>
      </w:r>
      <w:r>
        <w:rPr>
          <w:rFonts w:hint="eastAsia" w:ascii="仿宋" w:hAnsi="仿宋" w:eastAsia="仿宋"/>
          <w:sz w:val="32"/>
          <w:szCs w:val="32"/>
          <w:highlight w:val="none"/>
          <w:lang w:val="en-GB"/>
        </w:rPr>
        <w:t>持有人应收付息兑付资金。</w:t>
      </w:r>
    </w:p>
    <w:p w14:paraId="5B1F7D5B">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ascii="仿宋" w:hAnsi="仿宋" w:eastAsia="仿宋"/>
          <w:sz w:val="32"/>
          <w:szCs w:val="32"/>
          <w:highlight w:val="none"/>
          <w:lang w:val="en-GB"/>
        </w:rPr>
      </w:pPr>
      <w:r>
        <w:rPr>
          <w:rFonts w:hint="eastAsia" w:ascii="仿宋" w:hAnsi="仿宋" w:eastAsia="仿宋"/>
          <w:sz w:val="32"/>
          <w:szCs w:val="32"/>
          <w:highlight w:val="none"/>
          <w:lang w:val="en-GB" w:eastAsia="zh-CN"/>
        </w:rPr>
        <w:t>债券</w:t>
      </w:r>
      <w:r>
        <w:rPr>
          <w:rFonts w:hint="eastAsia" w:ascii="仿宋" w:hAnsi="仿宋" w:eastAsia="仿宋"/>
          <w:sz w:val="32"/>
          <w:szCs w:val="32"/>
          <w:highlight w:val="none"/>
          <w:lang w:val="en-GB"/>
        </w:rPr>
        <w:t>发行人应按照发行人服务协议的约定，</w:t>
      </w:r>
      <w:r>
        <w:rPr>
          <w:rFonts w:hint="eastAsia" w:ascii="仿宋" w:hAnsi="仿宋" w:eastAsia="仿宋"/>
          <w:sz w:val="32"/>
          <w:szCs w:val="32"/>
          <w:highlight w:val="none"/>
          <w:lang w:val="en-GB" w:eastAsia="zh-CN"/>
        </w:rPr>
        <w:t>及时</w:t>
      </w:r>
      <w:r>
        <w:rPr>
          <w:rFonts w:hint="eastAsia" w:ascii="仿宋" w:hAnsi="仿宋" w:eastAsia="仿宋"/>
          <w:sz w:val="32"/>
          <w:szCs w:val="32"/>
          <w:highlight w:val="none"/>
          <w:lang w:val="en-GB"/>
        </w:rPr>
        <w:t>将债券付息兑付资金足额划付至上海清算所指定银行账户。在</w:t>
      </w:r>
      <w:r>
        <w:rPr>
          <w:rFonts w:hint="eastAsia" w:ascii="仿宋" w:hAnsi="仿宋" w:eastAsia="仿宋"/>
          <w:sz w:val="32"/>
          <w:szCs w:val="32"/>
          <w:highlight w:val="none"/>
          <w:lang w:val="en-GB" w:eastAsia="zh-CN"/>
        </w:rPr>
        <w:t>债券</w:t>
      </w:r>
      <w:r>
        <w:rPr>
          <w:rFonts w:hint="eastAsia" w:ascii="仿宋" w:hAnsi="仿宋" w:eastAsia="仿宋"/>
          <w:sz w:val="32"/>
          <w:szCs w:val="32"/>
          <w:highlight w:val="none"/>
          <w:lang w:val="en-GB"/>
        </w:rPr>
        <w:t>发行人资金及时、足额到账的情况下，上海清算所于规定时间内将</w:t>
      </w:r>
      <w:r>
        <w:rPr>
          <w:rFonts w:hint="eastAsia" w:ascii="仿宋" w:hAnsi="仿宋" w:eastAsia="仿宋"/>
          <w:sz w:val="32"/>
          <w:szCs w:val="32"/>
          <w:highlight w:val="none"/>
          <w:lang w:val="en-GB" w:eastAsia="zh-CN"/>
        </w:rPr>
        <w:t>债券</w:t>
      </w:r>
      <w:r>
        <w:rPr>
          <w:rFonts w:hint="eastAsia" w:ascii="仿宋" w:hAnsi="仿宋" w:eastAsia="仿宋"/>
          <w:sz w:val="32"/>
          <w:szCs w:val="32"/>
          <w:highlight w:val="none"/>
          <w:lang w:val="en-GB"/>
        </w:rPr>
        <w:t>持有人应收付息兑付资金划付</w:t>
      </w:r>
      <w:r>
        <w:rPr>
          <w:rFonts w:hint="eastAsia" w:ascii="仿宋" w:hAnsi="仿宋" w:eastAsia="仿宋"/>
          <w:sz w:val="32"/>
          <w:szCs w:val="32"/>
          <w:highlight w:val="none"/>
          <w:lang w:val="en-GB" w:eastAsia="zh-CN"/>
        </w:rPr>
        <w:t>至其</w:t>
      </w:r>
      <w:r>
        <w:rPr>
          <w:rFonts w:hint="eastAsia" w:ascii="仿宋" w:hAnsi="仿宋" w:eastAsia="仿宋"/>
          <w:sz w:val="32"/>
          <w:szCs w:val="32"/>
          <w:highlight w:val="none"/>
          <w:lang w:val="en-GB"/>
        </w:rPr>
        <w:t>指定账户。</w:t>
      </w:r>
    </w:p>
    <w:p w14:paraId="20676DFF">
      <w:pPr>
        <w:pStyle w:val="19"/>
        <w:numPr>
          <w:ilvl w:val="0"/>
          <w:numId w:val="0"/>
        </w:numPr>
        <w:tabs>
          <w:tab w:val="left" w:pos="2127"/>
        </w:tabs>
        <w:adjustRightInd w:val="0"/>
        <w:snapToGrid w:val="0"/>
        <w:spacing w:line="580" w:lineRule="exact"/>
        <w:ind w:firstLine="600"/>
        <w:rPr>
          <w:rFonts w:hint="eastAsia" w:ascii="仿宋" w:hAnsi="仿宋" w:eastAsia="仿宋" w:cs="宋体"/>
          <w:kern w:val="0"/>
          <w:sz w:val="32"/>
          <w:szCs w:val="32"/>
          <w:highlight w:val="none"/>
        </w:rPr>
      </w:pPr>
      <w:r>
        <w:rPr>
          <w:rFonts w:hint="eastAsia" w:ascii="仿宋" w:hAnsi="仿宋" w:eastAsia="仿宋" w:cs="宋体"/>
          <w:bCs w:val="0"/>
          <w:kern w:val="0"/>
          <w:sz w:val="32"/>
          <w:szCs w:val="32"/>
          <w:highlight w:val="none"/>
          <w:lang w:val="zh-CN" w:bidi="ar"/>
        </w:rPr>
        <w:t>债券持有人为承担债券二级托管职能的托管机构的，上海清算所将按照</w:t>
      </w:r>
      <w:r>
        <w:rPr>
          <w:rFonts w:hint="eastAsia" w:ascii="仿宋" w:hAnsi="仿宋" w:eastAsia="仿宋"/>
          <w:sz w:val="32"/>
          <w:szCs w:val="32"/>
          <w:highlight w:val="none"/>
          <w:lang w:val="en-GB"/>
        </w:rPr>
        <w:t>付息兑付登记日</w:t>
      </w:r>
      <w:r>
        <w:rPr>
          <w:rFonts w:hint="eastAsia" w:ascii="仿宋" w:hAnsi="仿宋" w:eastAsia="仿宋" w:cs="宋体"/>
          <w:bCs w:val="0"/>
          <w:kern w:val="0"/>
          <w:sz w:val="32"/>
          <w:szCs w:val="32"/>
          <w:highlight w:val="none"/>
          <w:lang w:val="zh-CN" w:bidi="ar"/>
        </w:rPr>
        <w:t>托管机构持有债券总额，计算并划付其应收付息兑付资金，托管机构向其代理的</w:t>
      </w:r>
      <w:r>
        <w:rPr>
          <w:rFonts w:hint="eastAsia" w:ascii="仿宋" w:hAnsi="仿宋" w:eastAsia="仿宋"/>
          <w:sz w:val="32"/>
          <w:szCs w:val="32"/>
          <w:highlight w:val="none"/>
          <w:lang w:eastAsia="zh-CN"/>
        </w:rPr>
        <w:t>二级托管账户持有人</w:t>
      </w:r>
      <w:r>
        <w:rPr>
          <w:rFonts w:hint="eastAsia" w:ascii="仿宋" w:hAnsi="仿宋" w:eastAsia="仿宋" w:cs="宋体"/>
          <w:bCs w:val="0"/>
          <w:kern w:val="0"/>
          <w:sz w:val="32"/>
          <w:szCs w:val="32"/>
          <w:highlight w:val="none"/>
          <w:lang w:val="zh-CN" w:bidi="ar"/>
        </w:rPr>
        <w:t>分配付息兑付资金。</w:t>
      </w:r>
    </w:p>
    <w:p w14:paraId="7712B0F6">
      <w:pPr>
        <w:pStyle w:val="19"/>
        <w:pageBreakBefore w:val="0"/>
        <w:widowControl w:val="0"/>
        <w:tabs>
          <w:tab w:val="left" w:pos="2127"/>
        </w:tabs>
        <w:kinsoku/>
        <w:wordWrap/>
        <w:overflowPunct/>
        <w:topLinePunct w:val="0"/>
        <w:bidi w:val="0"/>
        <w:adjustRightInd w:val="0"/>
        <w:snapToGrid w:val="0"/>
        <w:spacing w:line="580" w:lineRule="exact"/>
        <w:ind w:firstLine="600"/>
        <w:textAlignment w:val="auto"/>
        <w:rPr>
          <w:rFonts w:hint="eastAsia" w:ascii="仿宋" w:hAnsi="仿宋" w:eastAsia="仿宋" w:cs="宋体"/>
          <w:kern w:val="0"/>
          <w:sz w:val="32"/>
          <w:szCs w:val="32"/>
          <w:highlight w:val="none"/>
          <w:lang w:eastAsia="zh-CN"/>
        </w:rPr>
      </w:pPr>
      <w:r>
        <w:rPr>
          <w:rFonts w:hint="eastAsia" w:ascii="仿宋" w:hAnsi="仿宋" w:eastAsia="仿宋" w:cs="宋体"/>
          <w:kern w:val="0"/>
          <w:sz w:val="32"/>
          <w:szCs w:val="32"/>
          <w:highlight w:val="none"/>
        </w:rPr>
        <w:t>付息兑付支付日遇法定节假日的，顺延至其后第一个工作日。</w:t>
      </w:r>
    </w:p>
    <w:p w14:paraId="2B65E8BA">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ascii="仿宋" w:hAnsi="仿宋" w:eastAsia="仿宋"/>
          <w:sz w:val="32"/>
          <w:szCs w:val="32"/>
          <w:highlight w:val="none"/>
          <w:lang w:val="en-GB"/>
        </w:rPr>
      </w:pPr>
      <w:r>
        <w:rPr>
          <w:rFonts w:hint="eastAsia" w:ascii="仿宋" w:hAnsi="仿宋" w:eastAsia="仿宋"/>
          <w:sz w:val="32"/>
          <w:szCs w:val="32"/>
          <w:highlight w:val="none"/>
          <w:lang w:val="en-GB" w:eastAsia="zh-CN"/>
        </w:rPr>
        <w:t>债券</w:t>
      </w:r>
      <w:r>
        <w:rPr>
          <w:rFonts w:hint="eastAsia" w:ascii="仿宋" w:hAnsi="仿宋" w:eastAsia="仿宋"/>
          <w:sz w:val="32"/>
          <w:szCs w:val="32"/>
          <w:highlight w:val="none"/>
          <w:lang w:val="en-GB"/>
        </w:rPr>
        <w:t>发行人未按照上海清算所规定的时点足额划付付息兑付资金，</w:t>
      </w:r>
      <w:r>
        <w:rPr>
          <w:rFonts w:hint="eastAsia" w:ascii="仿宋" w:hAnsi="仿宋" w:eastAsia="仿宋"/>
          <w:sz w:val="32"/>
          <w:szCs w:val="32"/>
          <w:highlight w:val="none"/>
          <w:lang w:val="en-GB" w:eastAsia="zh-CN"/>
        </w:rPr>
        <w:t>上海清算所</w:t>
      </w:r>
      <w:r>
        <w:rPr>
          <w:rFonts w:hint="eastAsia" w:ascii="仿宋" w:hAnsi="仿宋" w:eastAsia="仿宋"/>
          <w:sz w:val="32"/>
          <w:szCs w:val="32"/>
          <w:highlight w:val="none"/>
          <w:lang w:val="en-GB"/>
        </w:rPr>
        <w:t>有权视实际情况顺延资金划付的时间，</w:t>
      </w:r>
      <w:r>
        <w:rPr>
          <w:rFonts w:hint="eastAsia" w:ascii="仿宋" w:hAnsi="仿宋" w:eastAsia="仿宋"/>
          <w:sz w:val="32"/>
          <w:szCs w:val="32"/>
          <w:highlight w:val="none"/>
          <w:lang w:val="en-GB" w:eastAsia="zh-CN"/>
        </w:rPr>
        <w:t>且不承担由此产生的任何</w:t>
      </w:r>
      <w:r>
        <w:rPr>
          <w:rFonts w:hint="eastAsia" w:ascii="仿宋" w:hAnsi="仿宋" w:eastAsia="仿宋"/>
          <w:sz w:val="32"/>
          <w:szCs w:val="32"/>
          <w:highlight w:val="none"/>
          <w:lang w:val="en-GB"/>
        </w:rPr>
        <w:t>责任</w:t>
      </w:r>
      <w:r>
        <w:rPr>
          <w:rFonts w:hint="eastAsia" w:ascii="仿宋" w:hAnsi="仿宋" w:eastAsia="仿宋"/>
          <w:sz w:val="32"/>
          <w:szCs w:val="32"/>
          <w:highlight w:val="none"/>
          <w:lang w:val="en-GB" w:eastAsia="zh-CN"/>
        </w:rPr>
        <w:t>。债券</w:t>
      </w:r>
      <w:r>
        <w:rPr>
          <w:rFonts w:hint="eastAsia" w:ascii="仿宋" w:hAnsi="仿宋" w:eastAsia="仿宋"/>
          <w:sz w:val="32"/>
          <w:szCs w:val="32"/>
          <w:highlight w:val="none"/>
          <w:lang w:val="en-GB"/>
        </w:rPr>
        <w:t>发行人应</w:t>
      </w:r>
      <w:r>
        <w:rPr>
          <w:rFonts w:hint="eastAsia" w:ascii="仿宋" w:hAnsi="仿宋" w:eastAsia="仿宋"/>
          <w:sz w:val="32"/>
          <w:szCs w:val="32"/>
          <w:highlight w:val="none"/>
          <w:lang w:val="en-GB" w:eastAsia="zh-CN"/>
        </w:rPr>
        <w:t>及时通过合理方式向市场说明有关情况</w:t>
      </w:r>
      <w:r>
        <w:rPr>
          <w:rFonts w:hint="eastAsia" w:ascii="仿宋" w:hAnsi="仿宋" w:eastAsia="仿宋"/>
          <w:sz w:val="32"/>
          <w:szCs w:val="32"/>
          <w:highlight w:val="none"/>
          <w:lang w:val="en-GB"/>
        </w:rPr>
        <w:t>。</w:t>
      </w:r>
    </w:p>
    <w:p w14:paraId="23DAB032">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ascii="仿宋" w:hAnsi="仿宋" w:eastAsia="仿宋"/>
          <w:sz w:val="32"/>
          <w:szCs w:val="32"/>
          <w:highlight w:val="none"/>
          <w:lang w:val="en-GB"/>
        </w:rPr>
      </w:pPr>
      <w:r>
        <w:rPr>
          <w:rFonts w:hint="eastAsia" w:ascii="仿宋" w:hAnsi="仿宋" w:eastAsia="仿宋"/>
          <w:sz w:val="32"/>
          <w:szCs w:val="32"/>
          <w:highlight w:val="none"/>
          <w:lang w:val="en-GB"/>
        </w:rPr>
        <w:t>对于付息登记日日终处于冻结状态的债券，上海清算所暂不办理付息资金划付，将该部分债券对应的应收付息资金暂时留存上海清算所，待该部分债券解除上述状态后或者根据相关当事人指令办理资金划付。</w:t>
      </w:r>
    </w:p>
    <w:p w14:paraId="178094DF">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ascii="仿宋" w:hAnsi="仿宋" w:eastAsia="仿宋"/>
          <w:sz w:val="32"/>
          <w:szCs w:val="32"/>
          <w:highlight w:val="none"/>
          <w:lang w:val="en-GB"/>
        </w:rPr>
      </w:pPr>
      <w:r>
        <w:rPr>
          <w:rFonts w:hint="eastAsia" w:ascii="仿宋" w:hAnsi="仿宋" w:eastAsia="仿宋"/>
          <w:sz w:val="32"/>
          <w:szCs w:val="32"/>
          <w:highlight w:val="none"/>
          <w:lang w:val="en-GB"/>
        </w:rPr>
        <w:t>对于兑付登记日日终处于质押、冻结等状态的债券，上海清算所暂不办理兑付资金划付，将该部分债券对应的应收本金暂时留存上海清算所，待该部分债券解除上述状态后</w:t>
      </w:r>
      <w:r>
        <w:rPr>
          <w:rFonts w:hint="eastAsia" w:ascii="仿宋" w:hAnsi="仿宋" w:eastAsia="仿宋"/>
          <w:sz w:val="32"/>
          <w:szCs w:val="32"/>
          <w:highlight w:val="none"/>
          <w:lang w:val="en-GB" w:eastAsia="zh-CN"/>
        </w:rPr>
        <w:t>或者根据</w:t>
      </w:r>
      <w:r>
        <w:rPr>
          <w:rFonts w:hint="eastAsia" w:ascii="仿宋" w:hAnsi="仿宋" w:eastAsia="仿宋"/>
          <w:sz w:val="32"/>
          <w:szCs w:val="32"/>
          <w:highlight w:val="none"/>
          <w:lang w:val="en-GB"/>
        </w:rPr>
        <w:t>相关当事人指令办理资金划付。</w:t>
      </w:r>
    </w:p>
    <w:p w14:paraId="27B7B395">
      <w:pPr>
        <w:pStyle w:val="18"/>
        <w:keepNext w:val="0"/>
        <w:keepLines w:val="0"/>
        <w:pageBreakBefore w:val="0"/>
        <w:widowControl w:val="0"/>
        <w:numPr>
          <w:ilvl w:val="0"/>
          <w:numId w:val="4"/>
        </w:numPr>
        <w:kinsoku/>
        <w:wordWrap/>
        <w:overflowPunct/>
        <w:topLinePunct w:val="0"/>
        <w:bidi w:val="0"/>
        <w:adjustRightInd w:val="0"/>
        <w:snapToGrid w:val="0"/>
        <w:spacing w:before="0" w:after="0" w:line="580" w:lineRule="exact"/>
        <w:ind w:left="0" w:firstLine="0"/>
        <w:textAlignment w:val="auto"/>
        <w:rPr>
          <w:rFonts w:hint="eastAsia" w:ascii="楷体" w:hAnsi="楷体" w:eastAsia="楷体" w:cs="楷体"/>
          <w:b w:val="0"/>
          <w:bCs w:val="0"/>
          <w:sz w:val="32"/>
          <w:szCs w:val="32"/>
          <w:highlight w:val="none"/>
          <w:lang w:eastAsia="zh-CN"/>
        </w:rPr>
      </w:pPr>
      <w:r>
        <w:rPr>
          <w:rFonts w:hint="eastAsia" w:ascii="楷体" w:hAnsi="楷体" w:eastAsia="楷体" w:cs="楷体"/>
          <w:b w:val="0"/>
          <w:bCs w:val="0"/>
          <w:sz w:val="32"/>
          <w:szCs w:val="32"/>
          <w:highlight w:val="none"/>
          <w:lang w:eastAsia="zh-CN"/>
        </w:rPr>
        <w:t>其他债券托管服务</w:t>
      </w:r>
    </w:p>
    <w:p w14:paraId="748E77E7">
      <w:pPr>
        <w:pStyle w:val="19"/>
        <w:numPr>
          <w:ilvl w:val="0"/>
          <w:numId w:val="2"/>
        </w:numPr>
        <w:tabs>
          <w:tab w:val="left" w:pos="0"/>
          <w:tab w:val="left" w:pos="1985"/>
          <w:tab w:val="left" w:pos="2340"/>
        </w:tabs>
        <w:adjustRightInd w:val="0"/>
        <w:snapToGrid w:val="0"/>
        <w:spacing w:line="580" w:lineRule="exact"/>
        <w:ind w:left="0" w:firstLine="600"/>
        <w:rPr>
          <w:rFonts w:hint="eastAsia" w:ascii="仿宋" w:hAnsi="仿宋" w:eastAsia="仿宋"/>
          <w:sz w:val="32"/>
          <w:szCs w:val="32"/>
          <w:highlight w:val="none"/>
          <w:lang w:val="en-GB" w:eastAsia="zh-CN"/>
        </w:rPr>
      </w:pPr>
      <w:r>
        <w:rPr>
          <w:rFonts w:hint="eastAsia" w:ascii="仿宋" w:hAnsi="仿宋" w:eastAsia="仿宋"/>
          <w:sz w:val="32"/>
          <w:szCs w:val="32"/>
          <w:highlight w:val="none"/>
          <w:lang w:val="en-GB"/>
        </w:rPr>
        <w:t>上海清算所根据法律法规、部门规章及管理部门规定，为市场参与者提供含选择权债券的选择权</w:t>
      </w:r>
      <w:r>
        <w:rPr>
          <w:rFonts w:hint="eastAsia" w:ascii="仿宋" w:hAnsi="仿宋" w:eastAsia="仿宋"/>
          <w:sz w:val="32"/>
          <w:szCs w:val="32"/>
          <w:highlight w:val="none"/>
          <w:lang w:val="en-GB" w:eastAsia="zh-CN"/>
        </w:rPr>
        <w:t>行使、担保品管理、发行人主动债务管理等</w:t>
      </w:r>
      <w:r>
        <w:rPr>
          <w:rFonts w:hint="eastAsia" w:ascii="仿宋" w:hAnsi="仿宋" w:eastAsia="仿宋"/>
          <w:sz w:val="32"/>
          <w:szCs w:val="32"/>
          <w:highlight w:val="none"/>
          <w:lang w:val="en-GB"/>
        </w:rPr>
        <w:t>其他债券托管相关服务。市场参与者申请办理上述</w:t>
      </w:r>
      <w:r>
        <w:rPr>
          <w:rFonts w:hint="eastAsia" w:ascii="仿宋" w:hAnsi="仿宋" w:eastAsia="仿宋"/>
          <w:sz w:val="32"/>
          <w:szCs w:val="32"/>
          <w:highlight w:val="none"/>
          <w:lang w:val="en-GB" w:eastAsia="zh-CN"/>
        </w:rPr>
        <w:t>业务</w:t>
      </w:r>
      <w:r>
        <w:rPr>
          <w:rFonts w:hint="eastAsia" w:ascii="仿宋" w:hAnsi="仿宋" w:eastAsia="仿宋"/>
          <w:sz w:val="32"/>
          <w:szCs w:val="32"/>
          <w:highlight w:val="none"/>
          <w:lang w:val="en-GB"/>
        </w:rPr>
        <w:t>的，应当遵守上海清算所相关业务规定。</w:t>
      </w:r>
    </w:p>
    <w:p w14:paraId="404CF367">
      <w:pPr>
        <w:pStyle w:val="19"/>
        <w:numPr>
          <w:ilvl w:val="0"/>
          <w:numId w:val="2"/>
        </w:numPr>
        <w:tabs>
          <w:tab w:val="left" w:pos="0"/>
          <w:tab w:val="left" w:pos="1985"/>
          <w:tab w:val="left" w:pos="2340"/>
        </w:tabs>
        <w:adjustRightInd w:val="0"/>
        <w:snapToGrid w:val="0"/>
        <w:spacing w:line="580" w:lineRule="exact"/>
        <w:ind w:left="0" w:firstLine="600"/>
        <w:rPr>
          <w:rFonts w:hint="eastAsia" w:ascii="仿宋" w:hAnsi="仿宋" w:eastAsia="仿宋"/>
          <w:sz w:val="32"/>
          <w:szCs w:val="32"/>
          <w:highlight w:val="none"/>
          <w:lang w:val="en-GB" w:eastAsia="zh-CN"/>
        </w:rPr>
      </w:pPr>
      <w:r>
        <w:rPr>
          <w:rFonts w:hint="eastAsia" w:ascii="仿宋" w:hAnsi="仿宋" w:eastAsia="仿宋" w:cs="仿宋"/>
          <w:sz w:val="32"/>
          <w:szCs w:val="32"/>
          <w:highlight w:val="none"/>
          <w:lang w:bidi="ar"/>
        </w:rPr>
        <w:t>承担债券二级托管职能的托管机构应当以</w:t>
      </w:r>
      <w:r>
        <w:rPr>
          <w:rFonts w:hint="eastAsia" w:ascii="仿宋" w:hAnsi="仿宋" w:eastAsia="仿宋" w:cs="仿宋"/>
          <w:sz w:val="32"/>
          <w:szCs w:val="32"/>
          <w:highlight w:val="none"/>
          <w:lang w:eastAsia="zh-CN" w:bidi="ar"/>
        </w:rPr>
        <w:t>自身</w:t>
      </w:r>
      <w:r>
        <w:rPr>
          <w:rFonts w:hint="eastAsia" w:ascii="仿宋" w:hAnsi="仿宋" w:eastAsia="仿宋" w:cs="仿宋"/>
          <w:sz w:val="32"/>
          <w:szCs w:val="32"/>
          <w:highlight w:val="none"/>
          <w:lang w:bidi="ar"/>
        </w:rPr>
        <w:t>名义，通过上海清算所行使对债券发行人的权利，托管机构行使对债券发行人的权利，应当事先征求其代理的</w:t>
      </w:r>
      <w:r>
        <w:rPr>
          <w:rFonts w:hint="eastAsia" w:ascii="仿宋" w:hAnsi="仿宋" w:eastAsia="仿宋"/>
          <w:sz w:val="32"/>
          <w:szCs w:val="32"/>
          <w:highlight w:val="none"/>
          <w:lang w:eastAsia="zh-CN"/>
        </w:rPr>
        <w:t>二级托管账户持有人</w:t>
      </w:r>
      <w:r>
        <w:rPr>
          <w:rFonts w:hint="eastAsia" w:ascii="仿宋" w:hAnsi="仿宋" w:eastAsia="仿宋" w:cs="仿宋"/>
          <w:sz w:val="32"/>
          <w:szCs w:val="32"/>
          <w:highlight w:val="none"/>
          <w:lang w:bidi="ar"/>
        </w:rPr>
        <w:t>意见，并按照其意见办理。</w:t>
      </w:r>
    </w:p>
    <w:p w14:paraId="55DFB9CB">
      <w:pPr>
        <w:pStyle w:val="18"/>
        <w:keepNext w:val="0"/>
        <w:keepLines w:val="0"/>
        <w:pageBreakBefore w:val="0"/>
        <w:widowControl w:val="0"/>
        <w:numPr>
          <w:ilvl w:val="0"/>
          <w:numId w:val="1"/>
        </w:numPr>
        <w:kinsoku/>
        <w:wordWrap/>
        <w:overflowPunct/>
        <w:topLinePunct w:val="0"/>
        <w:bidi w:val="0"/>
        <w:adjustRightInd w:val="0"/>
        <w:snapToGrid w:val="0"/>
        <w:spacing w:before="0" w:after="0" w:line="580" w:lineRule="exact"/>
        <w:ind w:left="0" w:firstLine="0"/>
        <w:textAlignment w:val="auto"/>
        <w:rPr>
          <w:rFonts w:hint="eastAsia" w:ascii="黑体" w:hAnsi="黑体" w:eastAsia="黑体" w:cs="黑体"/>
          <w:b w:val="0"/>
          <w:bCs w:val="0"/>
          <w:sz w:val="32"/>
          <w:szCs w:val="32"/>
          <w:highlight w:val="none"/>
          <w:lang w:eastAsia="zh-CN"/>
        </w:rPr>
      </w:pPr>
      <w:r>
        <w:rPr>
          <w:rFonts w:hint="eastAsia" w:ascii="黑体" w:hAnsi="黑体" w:eastAsia="黑体" w:cs="黑体"/>
          <w:b w:val="0"/>
          <w:bCs w:val="0"/>
          <w:sz w:val="32"/>
          <w:szCs w:val="32"/>
          <w:highlight w:val="none"/>
          <w:lang w:eastAsia="zh-CN"/>
        </w:rPr>
        <w:t>债券交易的清算和结算</w:t>
      </w:r>
    </w:p>
    <w:p w14:paraId="7AE60E49">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hint="eastAsia" w:ascii="仿宋" w:hAnsi="仿宋" w:eastAsia="仿宋"/>
          <w:sz w:val="32"/>
          <w:szCs w:val="32"/>
          <w:highlight w:val="none"/>
          <w:lang w:val="en-GB"/>
        </w:rPr>
      </w:pPr>
      <w:r>
        <w:rPr>
          <w:rFonts w:hint="eastAsia" w:ascii="仿宋" w:hAnsi="仿宋" w:eastAsia="仿宋"/>
          <w:sz w:val="32"/>
          <w:szCs w:val="32"/>
          <w:highlight w:val="none"/>
          <w:lang w:val="en-GB" w:eastAsia="zh-CN"/>
        </w:rPr>
        <w:t>清算结算业务是指</w:t>
      </w:r>
      <w:r>
        <w:rPr>
          <w:rFonts w:hint="eastAsia" w:ascii="仿宋" w:hAnsi="仿宋" w:eastAsia="仿宋"/>
          <w:sz w:val="32"/>
          <w:szCs w:val="32"/>
          <w:highlight w:val="none"/>
          <w:lang w:val="en-GB"/>
        </w:rPr>
        <w:t>投资者在债券市场达成交易后，通过上海清算所完成匹配、清分</w:t>
      </w:r>
      <w:r>
        <w:rPr>
          <w:rFonts w:hint="eastAsia" w:ascii="仿宋" w:hAnsi="仿宋" w:eastAsia="仿宋"/>
          <w:sz w:val="32"/>
          <w:szCs w:val="32"/>
          <w:highlight w:val="none"/>
          <w:lang w:val="en-GB" w:eastAsia="zh-CN"/>
        </w:rPr>
        <w:t>，并</w:t>
      </w:r>
      <w:r>
        <w:rPr>
          <w:rFonts w:hint="eastAsia" w:ascii="仿宋" w:hAnsi="仿宋" w:eastAsia="仿宋"/>
          <w:sz w:val="32"/>
          <w:szCs w:val="32"/>
          <w:highlight w:val="none"/>
          <w:lang w:val="en-GB"/>
        </w:rPr>
        <w:t>办理债券和资金</w:t>
      </w:r>
      <w:r>
        <w:rPr>
          <w:rFonts w:hint="eastAsia" w:ascii="仿宋" w:hAnsi="仿宋" w:eastAsia="仿宋"/>
          <w:sz w:val="32"/>
          <w:szCs w:val="32"/>
          <w:highlight w:val="none"/>
          <w:lang w:val="en-GB" w:eastAsia="zh-CN"/>
        </w:rPr>
        <w:t>结算</w:t>
      </w:r>
      <w:r>
        <w:rPr>
          <w:rFonts w:hint="eastAsia" w:ascii="仿宋" w:hAnsi="仿宋" w:eastAsia="仿宋"/>
          <w:sz w:val="32"/>
          <w:szCs w:val="32"/>
          <w:highlight w:val="none"/>
          <w:lang w:val="en-GB"/>
        </w:rPr>
        <w:t>的过程。</w:t>
      </w:r>
    </w:p>
    <w:p w14:paraId="52501015">
      <w:pPr>
        <w:pStyle w:val="19"/>
        <w:pageBreakBefore w:val="0"/>
        <w:widowControl w:val="0"/>
        <w:tabs>
          <w:tab w:val="left" w:pos="0"/>
          <w:tab w:val="left" w:pos="1985"/>
          <w:tab w:val="left" w:pos="2340"/>
        </w:tabs>
        <w:kinsoku/>
        <w:wordWrap/>
        <w:overflowPunct/>
        <w:topLinePunct w:val="0"/>
        <w:bidi w:val="0"/>
        <w:adjustRightInd w:val="0"/>
        <w:snapToGrid w:val="0"/>
        <w:spacing w:line="580" w:lineRule="exact"/>
        <w:ind w:firstLine="640" w:firstLineChars="200"/>
        <w:textAlignment w:val="auto"/>
        <w:rPr>
          <w:rFonts w:hint="eastAsia" w:ascii="仿宋" w:hAnsi="仿宋" w:eastAsia="仿宋"/>
          <w:sz w:val="32"/>
          <w:szCs w:val="32"/>
          <w:highlight w:val="none"/>
          <w:lang w:val="en-GB"/>
        </w:rPr>
      </w:pPr>
      <w:r>
        <w:rPr>
          <w:rFonts w:hint="eastAsia" w:ascii="仿宋" w:hAnsi="仿宋" w:eastAsia="仿宋"/>
          <w:sz w:val="32"/>
          <w:szCs w:val="32"/>
          <w:highlight w:val="none"/>
          <w:lang w:val="en-GB"/>
        </w:rPr>
        <w:t>投资者参与银行间债券市场债券交易，应遵守中国人民银行相关规定，包括但不限于交易主体资格、交易方式、交易权限、交易对手</w:t>
      </w:r>
      <w:r>
        <w:rPr>
          <w:rFonts w:hint="eastAsia" w:ascii="仿宋" w:hAnsi="仿宋" w:eastAsia="仿宋"/>
          <w:sz w:val="32"/>
          <w:szCs w:val="32"/>
          <w:highlight w:val="none"/>
          <w:lang w:val="en-GB" w:eastAsia="zh-CN"/>
        </w:rPr>
        <w:t>、结算方式、结算周期</w:t>
      </w:r>
      <w:r>
        <w:rPr>
          <w:rFonts w:hint="eastAsia" w:ascii="仿宋" w:hAnsi="仿宋" w:eastAsia="仿宋"/>
          <w:sz w:val="32"/>
          <w:szCs w:val="32"/>
          <w:highlight w:val="none"/>
          <w:lang w:val="en-GB"/>
        </w:rPr>
        <w:t>等。</w:t>
      </w:r>
    </w:p>
    <w:p w14:paraId="781F360A">
      <w:pPr>
        <w:pStyle w:val="19"/>
        <w:numPr>
          <w:ilvl w:val="0"/>
          <w:numId w:val="2"/>
        </w:numPr>
        <w:tabs>
          <w:tab w:val="left" w:pos="0"/>
          <w:tab w:val="left" w:pos="1985"/>
          <w:tab w:val="left" w:pos="2340"/>
        </w:tabs>
        <w:adjustRightInd w:val="0"/>
        <w:snapToGrid w:val="0"/>
        <w:spacing w:line="580" w:lineRule="exact"/>
        <w:ind w:left="0" w:firstLine="600"/>
        <w:rPr>
          <w:rFonts w:hint="eastAsia" w:ascii="仿宋" w:hAnsi="仿宋" w:eastAsia="仿宋"/>
          <w:sz w:val="32"/>
          <w:szCs w:val="32"/>
          <w:highlight w:val="none"/>
          <w:lang w:val="en-GB"/>
        </w:rPr>
      </w:pPr>
      <w:r>
        <w:rPr>
          <w:rFonts w:hint="eastAsia" w:ascii="仿宋" w:hAnsi="仿宋" w:eastAsia="仿宋" w:cs="Times New Roman"/>
          <w:sz w:val="32"/>
          <w:szCs w:val="32"/>
          <w:highlight w:val="none"/>
          <w:lang w:val="en-GB"/>
        </w:rPr>
        <w:t>债券交易达成并提交至上海清算所后，上海清算所对交易要素进行形式检查，根据</w:t>
      </w:r>
      <w:r>
        <w:rPr>
          <w:rFonts w:hint="eastAsia" w:ascii="仿宋" w:hAnsi="仿宋" w:eastAsia="仿宋" w:cs="Times New Roman"/>
          <w:sz w:val="32"/>
          <w:szCs w:val="32"/>
          <w:highlight w:val="none"/>
          <w:lang w:val="en-GB" w:eastAsia="zh-CN"/>
        </w:rPr>
        <w:t>结算</w:t>
      </w:r>
      <w:r>
        <w:rPr>
          <w:rFonts w:hint="eastAsia" w:ascii="仿宋" w:hAnsi="仿宋" w:eastAsia="仿宋" w:cs="Times New Roman"/>
          <w:sz w:val="32"/>
          <w:szCs w:val="32"/>
          <w:highlight w:val="none"/>
          <w:lang w:val="en-GB"/>
        </w:rPr>
        <w:t>双方有效指令或相关业务规定，计算结算成员对该笔交易的应收应付义务，生成结算</w:t>
      </w:r>
      <w:r>
        <w:rPr>
          <w:rFonts w:hint="eastAsia" w:ascii="仿宋" w:hAnsi="仿宋" w:eastAsia="仿宋" w:cs="Times New Roman"/>
          <w:sz w:val="32"/>
          <w:szCs w:val="32"/>
          <w:highlight w:val="none"/>
          <w:lang w:val="en-GB" w:eastAsia="zh-CN"/>
        </w:rPr>
        <w:t>指</w:t>
      </w:r>
      <w:r>
        <w:rPr>
          <w:rFonts w:hint="eastAsia" w:ascii="仿宋" w:hAnsi="仿宋" w:eastAsia="仿宋" w:cs="Times New Roman"/>
          <w:sz w:val="32"/>
          <w:szCs w:val="32"/>
          <w:highlight w:val="none"/>
          <w:lang w:val="en-GB"/>
        </w:rPr>
        <w:t>令</w:t>
      </w:r>
      <w:r>
        <w:rPr>
          <w:rFonts w:hint="eastAsia" w:ascii="仿宋" w:hAnsi="仿宋" w:eastAsia="仿宋" w:cs="Times New Roman"/>
          <w:sz w:val="32"/>
          <w:szCs w:val="32"/>
          <w:highlight w:val="none"/>
          <w:lang w:val="en-GB" w:eastAsia="zh-CN"/>
        </w:rPr>
        <w:t>。结算成员应当及时、准确地向上海清算所发送相关指令。</w:t>
      </w:r>
      <w:r>
        <w:rPr>
          <w:rFonts w:hint="eastAsia" w:ascii="仿宋" w:hAnsi="仿宋" w:eastAsia="仿宋" w:cs="Times New Roman"/>
          <w:sz w:val="32"/>
          <w:szCs w:val="32"/>
          <w:highlight w:val="none"/>
          <w:lang w:val="en-GB"/>
        </w:rPr>
        <w:t>上海清算所依据结算双方有效结算指令，于结算日按照</w:t>
      </w:r>
      <w:r>
        <w:rPr>
          <w:rFonts w:hint="eastAsia" w:ascii="仿宋" w:hAnsi="仿宋" w:eastAsia="仿宋" w:cs="Times New Roman"/>
          <w:sz w:val="32"/>
          <w:szCs w:val="32"/>
          <w:highlight w:val="none"/>
          <w:lang w:val="en-GB" w:eastAsia="zh-CN"/>
        </w:rPr>
        <w:t>全额</w:t>
      </w:r>
      <w:r>
        <w:rPr>
          <w:rFonts w:hint="eastAsia" w:ascii="仿宋" w:hAnsi="仿宋" w:eastAsia="仿宋" w:cs="Times New Roman"/>
          <w:sz w:val="32"/>
          <w:szCs w:val="32"/>
          <w:highlight w:val="none"/>
          <w:lang w:val="en-GB"/>
        </w:rPr>
        <w:t>逐笔的原则组织办理债券和资金的结算。</w:t>
      </w:r>
      <w:r>
        <w:rPr>
          <w:rFonts w:hint="eastAsia" w:ascii="仿宋" w:hAnsi="仿宋" w:eastAsia="仿宋" w:cs="Times New Roman"/>
          <w:sz w:val="32"/>
          <w:szCs w:val="32"/>
          <w:highlight w:val="none"/>
          <w:lang w:val="en-GB" w:eastAsia="zh-CN"/>
        </w:rPr>
        <w:t>结算日遇非银行间债券市场工作日的，顺延至其后第一个工作日进行结算处理。</w:t>
      </w:r>
    </w:p>
    <w:p w14:paraId="26D9DB7F">
      <w:pPr>
        <w:pStyle w:val="19"/>
        <w:numPr>
          <w:ilvl w:val="0"/>
          <w:numId w:val="0"/>
        </w:numPr>
        <w:tabs>
          <w:tab w:val="left" w:pos="0"/>
          <w:tab w:val="left" w:pos="1985"/>
          <w:tab w:val="left" w:pos="2340"/>
        </w:tabs>
        <w:adjustRightInd w:val="0"/>
        <w:snapToGrid w:val="0"/>
        <w:spacing w:line="580" w:lineRule="exact"/>
        <w:ind w:left="600" w:firstLine="0"/>
        <w:rPr>
          <w:rFonts w:hint="eastAsia" w:ascii="仿宋" w:hAnsi="仿宋" w:eastAsia="仿宋"/>
          <w:sz w:val="32"/>
          <w:szCs w:val="32"/>
          <w:highlight w:val="none"/>
          <w:lang w:val="en-GB"/>
        </w:rPr>
      </w:pPr>
      <w:r>
        <w:rPr>
          <w:rFonts w:hint="eastAsia" w:ascii="仿宋" w:hAnsi="仿宋" w:eastAsia="仿宋" w:cs="宋体"/>
          <w:kern w:val="0"/>
          <w:sz w:val="32"/>
          <w:szCs w:val="32"/>
          <w:highlight w:val="none"/>
        </w:rPr>
        <w:t>债券交易的结算一旦完成，不可撤销。</w:t>
      </w:r>
    </w:p>
    <w:p w14:paraId="5DDB61FB">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hint="eastAsia" w:ascii="仿宋" w:hAnsi="仿宋" w:eastAsia="仿宋"/>
          <w:sz w:val="32"/>
          <w:szCs w:val="32"/>
          <w:highlight w:val="none"/>
          <w:lang w:val="en-GB"/>
        </w:rPr>
      </w:pPr>
      <w:r>
        <w:rPr>
          <w:rFonts w:hint="eastAsia" w:ascii="仿宋" w:hAnsi="仿宋" w:eastAsia="仿宋"/>
          <w:sz w:val="32"/>
          <w:szCs w:val="32"/>
          <w:highlight w:val="none"/>
          <w:lang w:val="en-GB"/>
        </w:rPr>
        <w:t>在结算业务中</w:t>
      </w:r>
      <w:r>
        <w:rPr>
          <w:rFonts w:hint="eastAsia" w:ascii="仿宋" w:hAnsi="仿宋" w:eastAsia="仿宋"/>
          <w:sz w:val="32"/>
          <w:szCs w:val="32"/>
          <w:highlight w:val="none"/>
          <w:lang w:val="en-GB" w:eastAsia="zh-CN"/>
        </w:rPr>
        <w:t>，上海清算所</w:t>
      </w:r>
      <w:r>
        <w:rPr>
          <w:rFonts w:hint="eastAsia" w:ascii="仿宋" w:hAnsi="仿宋" w:eastAsia="仿宋"/>
          <w:sz w:val="32"/>
          <w:szCs w:val="32"/>
          <w:highlight w:val="none"/>
          <w:lang w:val="en-GB"/>
        </w:rPr>
        <w:t>提供券款对付、见券付款、见款付券</w:t>
      </w:r>
      <w:r>
        <w:rPr>
          <w:rFonts w:hint="eastAsia" w:ascii="仿宋" w:hAnsi="仿宋" w:eastAsia="仿宋"/>
          <w:sz w:val="32"/>
          <w:szCs w:val="32"/>
          <w:highlight w:val="none"/>
          <w:lang w:val="en-GB" w:eastAsia="zh-CN"/>
        </w:rPr>
        <w:t>和</w:t>
      </w:r>
      <w:r>
        <w:rPr>
          <w:rFonts w:hint="eastAsia" w:ascii="仿宋" w:hAnsi="仿宋" w:eastAsia="仿宋"/>
          <w:sz w:val="32"/>
          <w:szCs w:val="32"/>
          <w:highlight w:val="none"/>
          <w:lang w:val="en-GB"/>
        </w:rPr>
        <w:t>纯券过户</w:t>
      </w:r>
      <w:r>
        <w:rPr>
          <w:rFonts w:hint="eastAsia" w:ascii="仿宋" w:hAnsi="仿宋" w:eastAsia="仿宋"/>
          <w:sz w:val="32"/>
          <w:szCs w:val="32"/>
          <w:highlight w:val="none"/>
          <w:lang w:val="en-GB" w:eastAsia="zh-CN"/>
        </w:rPr>
        <w:t>等</w:t>
      </w:r>
      <w:r>
        <w:rPr>
          <w:rFonts w:hint="eastAsia" w:ascii="仿宋" w:hAnsi="仿宋" w:eastAsia="仿宋"/>
          <w:sz w:val="32"/>
          <w:szCs w:val="32"/>
          <w:highlight w:val="none"/>
          <w:lang w:val="en-GB"/>
        </w:rPr>
        <w:t>结算方式</w:t>
      </w:r>
      <w:r>
        <w:rPr>
          <w:rFonts w:hint="eastAsia" w:ascii="仿宋" w:hAnsi="仿宋" w:eastAsia="仿宋"/>
          <w:sz w:val="32"/>
          <w:szCs w:val="32"/>
          <w:highlight w:val="none"/>
          <w:lang w:val="en-GB" w:eastAsia="zh-CN"/>
        </w:rPr>
        <w:t>。</w:t>
      </w:r>
    </w:p>
    <w:p w14:paraId="35C679D4">
      <w:pPr>
        <w:pStyle w:val="19"/>
        <w:numPr>
          <w:ilvl w:val="0"/>
          <w:numId w:val="0"/>
        </w:numPr>
        <w:tabs>
          <w:tab w:val="left" w:pos="0"/>
          <w:tab w:val="left" w:pos="1985"/>
          <w:tab w:val="left" w:pos="2340"/>
        </w:tabs>
        <w:adjustRightInd w:val="0"/>
        <w:snapToGrid w:val="0"/>
        <w:spacing w:line="580" w:lineRule="exact"/>
        <w:ind w:left="0" w:firstLine="640" w:firstLineChars="200"/>
        <w:rPr>
          <w:rFonts w:hint="eastAsia" w:ascii="仿宋" w:hAnsi="仿宋" w:eastAsia="仿宋"/>
          <w:sz w:val="32"/>
          <w:szCs w:val="32"/>
          <w:highlight w:val="none"/>
          <w:lang w:val="en-GB"/>
        </w:rPr>
      </w:pPr>
      <w:r>
        <w:rPr>
          <w:rFonts w:hint="eastAsia" w:ascii="仿宋" w:hAnsi="仿宋" w:eastAsia="仿宋"/>
          <w:sz w:val="32"/>
          <w:szCs w:val="32"/>
          <w:highlight w:val="none"/>
          <w:lang w:val="en-GB"/>
        </w:rPr>
        <w:t>券款对付是指结算双方同步办理债券过户和资金支付并互为条件的结算方式。</w:t>
      </w:r>
    </w:p>
    <w:p w14:paraId="267FC402">
      <w:pPr>
        <w:pStyle w:val="19"/>
        <w:numPr>
          <w:ilvl w:val="0"/>
          <w:numId w:val="0"/>
        </w:numPr>
        <w:tabs>
          <w:tab w:val="left" w:pos="0"/>
          <w:tab w:val="left" w:pos="1985"/>
          <w:tab w:val="left" w:pos="2340"/>
        </w:tabs>
        <w:adjustRightInd w:val="0"/>
        <w:snapToGrid w:val="0"/>
        <w:spacing w:line="580" w:lineRule="exact"/>
        <w:ind w:left="0" w:firstLine="640" w:firstLineChars="200"/>
        <w:rPr>
          <w:rFonts w:hint="eastAsia" w:ascii="仿宋" w:hAnsi="仿宋" w:eastAsia="仿宋"/>
          <w:sz w:val="32"/>
          <w:szCs w:val="32"/>
          <w:highlight w:val="none"/>
          <w:lang w:val="en-GB"/>
        </w:rPr>
      </w:pPr>
      <w:r>
        <w:rPr>
          <w:rFonts w:hint="eastAsia" w:ascii="仿宋" w:hAnsi="仿宋" w:eastAsia="仿宋"/>
          <w:sz w:val="32"/>
          <w:szCs w:val="32"/>
          <w:highlight w:val="none"/>
          <w:lang w:val="en-GB"/>
        </w:rPr>
        <w:t>见券付款是指收券方以付券方应付债券足额为资金支付条件的结算方式。</w:t>
      </w:r>
    </w:p>
    <w:p w14:paraId="0B1AC540">
      <w:pPr>
        <w:pStyle w:val="19"/>
        <w:numPr>
          <w:ilvl w:val="0"/>
          <w:numId w:val="0"/>
        </w:numPr>
        <w:tabs>
          <w:tab w:val="left" w:pos="0"/>
          <w:tab w:val="left" w:pos="1985"/>
          <w:tab w:val="left" w:pos="2340"/>
        </w:tabs>
        <w:adjustRightInd w:val="0"/>
        <w:snapToGrid w:val="0"/>
        <w:spacing w:line="580" w:lineRule="exact"/>
        <w:ind w:left="0" w:firstLine="640" w:firstLineChars="200"/>
        <w:rPr>
          <w:rFonts w:hint="eastAsia" w:ascii="仿宋" w:hAnsi="仿宋" w:eastAsia="仿宋"/>
          <w:sz w:val="32"/>
          <w:szCs w:val="32"/>
          <w:highlight w:val="none"/>
          <w:lang w:val="en-GB"/>
        </w:rPr>
      </w:pPr>
      <w:r>
        <w:rPr>
          <w:rFonts w:hint="eastAsia" w:ascii="仿宋" w:hAnsi="仿宋" w:eastAsia="仿宋"/>
          <w:sz w:val="32"/>
          <w:szCs w:val="32"/>
          <w:highlight w:val="none"/>
          <w:lang w:val="en-GB"/>
        </w:rPr>
        <w:t>见款付券是指付券方以收到收券方支付的足额资金为债券过户条件的结算方式。</w:t>
      </w:r>
    </w:p>
    <w:p w14:paraId="6A397656">
      <w:pPr>
        <w:pStyle w:val="19"/>
        <w:numPr>
          <w:ilvl w:val="0"/>
          <w:numId w:val="0"/>
        </w:numPr>
        <w:tabs>
          <w:tab w:val="left" w:pos="0"/>
          <w:tab w:val="left" w:pos="1985"/>
          <w:tab w:val="left" w:pos="2340"/>
        </w:tabs>
        <w:adjustRightInd w:val="0"/>
        <w:snapToGrid w:val="0"/>
        <w:spacing w:line="580" w:lineRule="exact"/>
        <w:ind w:left="0" w:firstLine="640" w:firstLineChars="200"/>
        <w:rPr>
          <w:rFonts w:hint="eastAsia" w:ascii="仿宋" w:hAnsi="仿宋" w:eastAsia="仿宋"/>
          <w:sz w:val="32"/>
          <w:szCs w:val="32"/>
          <w:highlight w:val="none"/>
          <w:lang w:val="en-GB"/>
        </w:rPr>
      </w:pPr>
      <w:r>
        <w:rPr>
          <w:rFonts w:hint="eastAsia" w:ascii="仿宋" w:hAnsi="仿宋" w:eastAsia="仿宋"/>
          <w:sz w:val="32"/>
          <w:szCs w:val="32"/>
          <w:highlight w:val="none"/>
          <w:lang w:val="en-GB"/>
        </w:rPr>
        <w:t>纯券过户是指结算双方的债券过户与资金支付相互独立的结算方式。</w:t>
      </w:r>
    </w:p>
    <w:p w14:paraId="4E125619">
      <w:pPr>
        <w:pStyle w:val="19"/>
        <w:numPr>
          <w:ilvl w:val="0"/>
          <w:numId w:val="2"/>
        </w:numPr>
        <w:tabs>
          <w:tab w:val="left" w:pos="0"/>
          <w:tab w:val="left" w:pos="1985"/>
          <w:tab w:val="left" w:pos="2340"/>
        </w:tabs>
        <w:adjustRightInd w:val="0"/>
        <w:snapToGrid w:val="0"/>
        <w:spacing w:line="580" w:lineRule="exact"/>
        <w:ind w:left="0" w:firstLine="600"/>
        <w:rPr>
          <w:rFonts w:hint="eastAsia" w:ascii="仿宋" w:hAnsi="仿宋" w:eastAsia="仿宋"/>
          <w:sz w:val="32"/>
          <w:szCs w:val="32"/>
          <w:highlight w:val="none"/>
          <w:lang w:val="en-GB"/>
        </w:rPr>
      </w:pPr>
      <w:r>
        <w:rPr>
          <w:rFonts w:hint="eastAsia" w:ascii="仿宋" w:hAnsi="仿宋" w:eastAsia="仿宋" w:cs="Times New Roman"/>
          <w:sz w:val="32"/>
          <w:szCs w:val="32"/>
          <w:highlight w:val="none"/>
          <w:lang w:val="en-GB" w:eastAsia="zh-CN"/>
        </w:rPr>
        <w:t>银行间债券</w:t>
      </w:r>
      <w:r>
        <w:rPr>
          <w:rFonts w:hint="eastAsia" w:ascii="仿宋" w:hAnsi="仿宋" w:eastAsia="仿宋" w:cs="Times New Roman"/>
          <w:sz w:val="32"/>
          <w:szCs w:val="32"/>
          <w:highlight w:val="none"/>
          <w:lang w:val="en-GB"/>
        </w:rPr>
        <w:t>市场参与者进行债券交易，应当采用</w:t>
      </w:r>
      <w:r>
        <w:rPr>
          <w:rFonts w:hint="eastAsia" w:ascii="仿宋" w:hAnsi="仿宋" w:eastAsia="仿宋" w:cs="Times New Roman"/>
          <w:sz w:val="32"/>
          <w:szCs w:val="32"/>
          <w:highlight w:val="none"/>
          <w:lang w:val="en-GB" w:eastAsia="zh-CN"/>
        </w:rPr>
        <w:t>券款对付</w:t>
      </w:r>
      <w:r>
        <w:rPr>
          <w:rFonts w:hint="eastAsia" w:ascii="仿宋" w:hAnsi="仿宋" w:eastAsia="仿宋" w:cs="Times New Roman"/>
          <w:sz w:val="32"/>
          <w:szCs w:val="32"/>
          <w:highlight w:val="none"/>
          <w:lang w:val="en-GB"/>
        </w:rPr>
        <w:t>结算方式办理债券结算和资金结算。中国人民银行另有规定的除外。</w:t>
      </w:r>
    </w:p>
    <w:p w14:paraId="4728D288">
      <w:pPr>
        <w:pStyle w:val="19"/>
        <w:numPr>
          <w:ilvl w:val="0"/>
          <w:numId w:val="0"/>
        </w:numPr>
        <w:tabs>
          <w:tab w:val="left" w:pos="0"/>
          <w:tab w:val="left" w:pos="1985"/>
          <w:tab w:val="left" w:pos="2340"/>
        </w:tabs>
        <w:adjustRightInd w:val="0"/>
        <w:snapToGrid w:val="0"/>
        <w:spacing w:line="580" w:lineRule="exact"/>
        <w:ind w:left="0" w:firstLine="640" w:firstLineChars="200"/>
        <w:rPr>
          <w:rFonts w:hint="eastAsia" w:ascii="仿宋" w:hAnsi="仿宋" w:eastAsia="仿宋"/>
          <w:sz w:val="32"/>
          <w:szCs w:val="32"/>
          <w:highlight w:val="none"/>
        </w:rPr>
      </w:pPr>
      <w:r>
        <w:rPr>
          <w:rFonts w:hint="eastAsia" w:ascii="仿宋" w:hAnsi="仿宋" w:eastAsia="仿宋"/>
          <w:sz w:val="32"/>
          <w:szCs w:val="32"/>
          <w:highlight w:val="none"/>
        </w:rPr>
        <w:t>上海清算所通过</w:t>
      </w:r>
      <w:r>
        <w:rPr>
          <w:rFonts w:hint="eastAsia" w:ascii="仿宋" w:hAnsi="仿宋" w:eastAsia="仿宋"/>
          <w:sz w:val="32"/>
          <w:szCs w:val="32"/>
          <w:highlight w:val="none"/>
          <w:lang w:eastAsia="zh-CN"/>
        </w:rPr>
        <w:t>自身</w:t>
      </w:r>
      <w:r>
        <w:rPr>
          <w:rFonts w:hint="eastAsia" w:ascii="仿宋" w:hAnsi="仿宋" w:eastAsia="仿宋"/>
          <w:sz w:val="32"/>
          <w:szCs w:val="32"/>
          <w:highlight w:val="none"/>
        </w:rPr>
        <w:t>业务系统与支付系统的连接，</w:t>
      </w:r>
      <w:r>
        <w:rPr>
          <w:rFonts w:hint="eastAsia" w:ascii="仿宋" w:hAnsi="仿宋" w:eastAsia="仿宋"/>
          <w:sz w:val="32"/>
          <w:szCs w:val="32"/>
          <w:highlight w:val="none"/>
          <w:lang w:eastAsia="zh-CN"/>
        </w:rPr>
        <w:t>为结算成员</w:t>
      </w:r>
      <w:r>
        <w:rPr>
          <w:rFonts w:hint="eastAsia" w:ascii="仿宋" w:hAnsi="仿宋" w:eastAsia="仿宋"/>
          <w:sz w:val="32"/>
          <w:szCs w:val="32"/>
          <w:highlight w:val="none"/>
        </w:rPr>
        <w:t>提供</w:t>
      </w:r>
      <w:r>
        <w:rPr>
          <w:rFonts w:hint="eastAsia" w:ascii="仿宋" w:hAnsi="仿宋" w:eastAsia="仿宋"/>
          <w:sz w:val="32"/>
          <w:szCs w:val="32"/>
          <w:highlight w:val="none"/>
          <w:lang w:eastAsia="zh-CN"/>
        </w:rPr>
        <w:t>券款对付</w:t>
      </w:r>
      <w:r>
        <w:rPr>
          <w:rFonts w:hint="eastAsia" w:ascii="仿宋" w:hAnsi="仿宋" w:eastAsia="仿宋"/>
          <w:sz w:val="32"/>
          <w:szCs w:val="32"/>
          <w:highlight w:val="none"/>
        </w:rPr>
        <w:t>结算服务。</w:t>
      </w:r>
    </w:p>
    <w:p w14:paraId="49FE276B">
      <w:pPr>
        <w:pStyle w:val="19"/>
        <w:numPr>
          <w:ilvl w:val="0"/>
          <w:numId w:val="2"/>
        </w:numPr>
        <w:tabs>
          <w:tab w:val="left" w:pos="0"/>
          <w:tab w:val="left" w:pos="1985"/>
          <w:tab w:val="left" w:pos="2340"/>
        </w:tabs>
        <w:adjustRightInd w:val="0"/>
        <w:snapToGrid w:val="0"/>
        <w:spacing w:line="580" w:lineRule="exact"/>
        <w:ind w:left="0" w:firstLine="600"/>
        <w:rPr>
          <w:rFonts w:hint="eastAsia" w:ascii="仿宋" w:hAnsi="仿宋" w:eastAsia="仿宋"/>
          <w:sz w:val="32"/>
          <w:szCs w:val="32"/>
          <w:highlight w:val="none"/>
          <w:lang w:val="en-GB"/>
        </w:rPr>
      </w:pPr>
      <w:r>
        <w:rPr>
          <w:rFonts w:hint="eastAsia" w:ascii="仿宋" w:hAnsi="仿宋" w:eastAsia="仿宋"/>
          <w:sz w:val="32"/>
          <w:szCs w:val="32"/>
          <w:highlight w:val="none"/>
          <w:lang w:val="en-GB" w:eastAsia="zh-CN"/>
        </w:rPr>
        <w:t>结算成员的</w:t>
      </w:r>
      <w:r>
        <w:rPr>
          <w:rFonts w:hint="eastAsia" w:ascii="仿宋" w:hAnsi="仿宋" w:eastAsia="仿宋"/>
          <w:sz w:val="32"/>
          <w:szCs w:val="32"/>
          <w:highlight w:val="none"/>
          <w:lang w:val="en-GB"/>
        </w:rPr>
        <w:t>债券结算通过</w:t>
      </w:r>
      <w:r>
        <w:rPr>
          <w:rFonts w:hint="eastAsia" w:ascii="仿宋" w:hAnsi="仿宋" w:eastAsia="仿宋"/>
          <w:sz w:val="32"/>
          <w:szCs w:val="32"/>
          <w:highlight w:val="none"/>
          <w:lang w:val="en-GB" w:eastAsia="zh-CN"/>
        </w:rPr>
        <w:t>其</w:t>
      </w:r>
      <w:r>
        <w:rPr>
          <w:rFonts w:hint="eastAsia" w:ascii="仿宋" w:hAnsi="仿宋" w:eastAsia="仿宋"/>
          <w:sz w:val="32"/>
          <w:szCs w:val="32"/>
          <w:highlight w:val="none"/>
          <w:lang w:val="en-GB"/>
        </w:rPr>
        <w:t>自身债券账户办理，资金结算通过</w:t>
      </w:r>
      <w:r>
        <w:rPr>
          <w:rFonts w:hint="eastAsia" w:ascii="仿宋" w:hAnsi="仿宋" w:eastAsia="仿宋"/>
          <w:sz w:val="32"/>
          <w:szCs w:val="32"/>
          <w:highlight w:val="none"/>
          <w:lang w:val="en-GB" w:eastAsia="zh-CN"/>
        </w:rPr>
        <w:t>其</w:t>
      </w:r>
      <w:r>
        <w:rPr>
          <w:rFonts w:hint="eastAsia" w:ascii="仿宋" w:hAnsi="仿宋" w:eastAsia="仿宋"/>
          <w:sz w:val="32"/>
          <w:szCs w:val="32"/>
          <w:highlight w:val="none"/>
          <w:lang w:val="en-GB"/>
        </w:rPr>
        <w:t>指定的资金结算账户办理。</w:t>
      </w:r>
    </w:p>
    <w:p w14:paraId="14343859">
      <w:pPr>
        <w:pStyle w:val="19"/>
        <w:numPr>
          <w:ilvl w:val="0"/>
          <w:numId w:val="0"/>
        </w:numPr>
        <w:tabs>
          <w:tab w:val="left" w:pos="0"/>
          <w:tab w:val="left" w:pos="1985"/>
          <w:tab w:val="left" w:pos="2340"/>
        </w:tabs>
        <w:adjustRightInd w:val="0"/>
        <w:snapToGrid w:val="0"/>
        <w:spacing w:line="580" w:lineRule="exact"/>
        <w:ind w:left="0" w:firstLine="640" w:firstLineChars="200"/>
        <w:rPr>
          <w:rFonts w:hint="eastAsia" w:ascii="仿宋" w:hAnsi="仿宋" w:eastAsia="仿宋"/>
          <w:sz w:val="32"/>
          <w:szCs w:val="32"/>
          <w:highlight w:val="none"/>
          <w:lang w:val="en-GB" w:eastAsia="zh-CN"/>
        </w:rPr>
      </w:pPr>
      <w:r>
        <w:rPr>
          <w:rFonts w:hint="eastAsia" w:ascii="仿宋" w:hAnsi="仿宋" w:eastAsia="仿宋"/>
          <w:sz w:val="32"/>
          <w:szCs w:val="32"/>
          <w:highlight w:val="none"/>
          <w:lang w:val="en-GB"/>
        </w:rPr>
        <w:t>结算成员在开立债券账户时，应</w:t>
      </w:r>
      <w:r>
        <w:rPr>
          <w:rFonts w:hint="eastAsia" w:ascii="仿宋" w:hAnsi="仿宋" w:eastAsia="仿宋"/>
          <w:sz w:val="32"/>
          <w:szCs w:val="32"/>
          <w:highlight w:val="none"/>
          <w:lang w:val="en-GB" w:eastAsia="zh-CN"/>
        </w:rPr>
        <w:t>根据监管要求和上海清算所相关业务规定</w:t>
      </w:r>
      <w:r>
        <w:rPr>
          <w:rFonts w:hint="eastAsia" w:ascii="仿宋" w:hAnsi="仿宋" w:eastAsia="仿宋"/>
          <w:sz w:val="32"/>
          <w:szCs w:val="32"/>
          <w:highlight w:val="none"/>
          <w:lang w:val="en-GB"/>
        </w:rPr>
        <w:t>指定准确有效的资金结算账户</w:t>
      </w:r>
      <w:r>
        <w:rPr>
          <w:rFonts w:hint="eastAsia" w:ascii="仿宋" w:hAnsi="仿宋" w:eastAsia="仿宋"/>
          <w:strike w:val="0"/>
          <w:sz w:val="32"/>
          <w:szCs w:val="32"/>
          <w:highlight w:val="none"/>
          <w:lang w:val="en-GB"/>
        </w:rPr>
        <w:t>或开立相应的资金结算账户，并授权上海清算所对该账户进行直接借记或贷记处理，</w:t>
      </w:r>
      <w:r>
        <w:rPr>
          <w:rFonts w:hint="eastAsia" w:ascii="仿宋" w:hAnsi="仿宋" w:eastAsia="仿宋"/>
          <w:sz w:val="32"/>
          <w:szCs w:val="32"/>
          <w:highlight w:val="none"/>
          <w:lang w:val="en-GB"/>
        </w:rPr>
        <w:t>以完成债券交易的资金结算</w:t>
      </w:r>
      <w:r>
        <w:rPr>
          <w:rFonts w:hint="eastAsia" w:ascii="仿宋" w:hAnsi="仿宋" w:eastAsia="仿宋"/>
          <w:sz w:val="32"/>
          <w:szCs w:val="32"/>
          <w:highlight w:val="none"/>
          <w:lang w:val="en-GB" w:eastAsia="zh-CN"/>
        </w:rPr>
        <w:t>。同时，该资金结算账户也可用于付息兑付资金分配、服务费主动扣收等业务。中国人民银行另有规定的除外。</w:t>
      </w:r>
    </w:p>
    <w:p w14:paraId="2277488F">
      <w:pPr>
        <w:pStyle w:val="19"/>
        <w:numPr>
          <w:ilvl w:val="0"/>
          <w:numId w:val="2"/>
        </w:numPr>
        <w:tabs>
          <w:tab w:val="left" w:pos="0"/>
          <w:tab w:val="left" w:pos="1985"/>
          <w:tab w:val="left" w:pos="2340"/>
        </w:tabs>
        <w:adjustRightInd w:val="0"/>
        <w:snapToGrid w:val="0"/>
        <w:spacing w:line="580" w:lineRule="exact"/>
        <w:ind w:left="0" w:firstLine="600"/>
        <w:rPr>
          <w:rFonts w:hint="eastAsia" w:ascii="仿宋" w:hAnsi="仿宋" w:eastAsia="仿宋"/>
          <w:sz w:val="32"/>
          <w:szCs w:val="32"/>
          <w:highlight w:val="none"/>
          <w:lang w:val="en-GB"/>
        </w:rPr>
      </w:pPr>
      <w:r>
        <w:rPr>
          <w:rFonts w:hint="eastAsia" w:ascii="仿宋" w:hAnsi="仿宋" w:eastAsia="仿宋"/>
          <w:sz w:val="32"/>
          <w:szCs w:val="32"/>
          <w:highlight w:val="none"/>
          <w:lang w:val="en-GB" w:eastAsia="zh-CN"/>
        </w:rPr>
        <w:t>结算成员在开展结算业务时，</w:t>
      </w:r>
      <w:r>
        <w:rPr>
          <w:rFonts w:hint="eastAsia" w:ascii="仿宋" w:hAnsi="仿宋" w:eastAsia="仿宋"/>
          <w:sz w:val="32"/>
          <w:szCs w:val="32"/>
          <w:highlight w:val="none"/>
          <w:lang w:val="en-GB"/>
        </w:rPr>
        <w:t>付券方应保证其债券账户中有足额债券用于结算</w:t>
      </w:r>
      <w:r>
        <w:rPr>
          <w:rFonts w:hint="eastAsia" w:ascii="仿宋" w:hAnsi="仿宋" w:eastAsia="仿宋"/>
          <w:sz w:val="32"/>
          <w:szCs w:val="32"/>
          <w:highlight w:val="none"/>
          <w:lang w:val="en-GB" w:eastAsia="zh-CN"/>
        </w:rPr>
        <w:t>，涉及资金结算的，</w:t>
      </w:r>
      <w:r>
        <w:rPr>
          <w:rFonts w:hint="eastAsia" w:ascii="仿宋" w:hAnsi="仿宋" w:eastAsia="仿宋"/>
          <w:sz w:val="32"/>
          <w:szCs w:val="32"/>
          <w:highlight w:val="none"/>
          <w:lang w:val="en-GB"/>
        </w:rPr>
        <w:t>付款方应保证其资金结算账户中有足额资金用于结算。</w:t>
      </w:r>
    </w:p>
    <w:p w14:paraId="710145AB">
      <w:pPr>
        <w:pStyle w:val="19"/>
        <w:numPr>
          <w:ilvl w:val="0"/>
          <w:numId w:val="0"/>
        </w:numPr>
        <w:tabs>
          <w:tab w:val="left" w:pos="0"/>
          <w:tab w:val="left" w:pos="1985"/>
          <w:tab w:val="left" w:pos="2340"/>
        </w:tabs>
        <w:adjustRightInd w:val="0"/>
        <w:snapToGrid w:val="0"/>
        <w:spacing w:line="580" w:lineRule="exact"/>
        <w:ind w:left="0" w:firstLine="640" w:firstLineChars="200"/>
        <w:rPr>
          <w:rFonts w:hint="eastAsia" w:ascii="仿宋" w:hAnsi="仿宋" w:eastAsia="仿宋"/>
          <w:sz w:val="32"/>
          <w:szCs w:val="32"/>
          <w:highlight w:val="none"/>
          <w:lang w:val="en-GB"/>
        </w:rPr>
      </w:pPr>
      <w:r>
        <w:rPr>
          <w:rFonts w:hint="eastAsia" w:ascii="仿宋" w:hAnsi="仿宋" w:eastAsia="仿宋"/>
          <w:sz w:val="32"/>
          <w:szCs w:val="32"/>
          <w:highlight w:val="none"/>
          <w:lang w:val="en-GB"/>
        </w:rPr>
        <w:t>已进入结算过程处于待付状态的资金</w:t>
      </w:r>
      <w:r>
        <w:rPr>
          <w:rFonts w:hint="eastAsia" w:ascii="仿宋" w:hAnsi="仿宋" w:eastAsia="仿宋"/>
          <w:sz w:val="32"/>
          <w:szCs w:val="32"/>
          <w:highlight w:val="none"/>
          <w:lang w:val="en-GB" w:eastAsia="zh-CN"/>
        </w:rPr>
        <w:t>和</w:t>
      </w:r>
      <w:r>
        <w:rPr>
          <w:rFonts w:hint="eastAsia" w:ascii="仿宋" w:hAnsi="仿宋" w:eastAsia="仿宋"/>
          <w:sz w:val="32"/>
          <w:szCs w:val="32"/>
          <w:highlight w:val="none"/>
          <w:lang w:val="en-GB"/>
        </w:rPr>
        <w:t>债券，以及该笔结算涉及的担保品只能用于该笔结算，不能被强制执行。</w:t>
      </w:r>
    </w:p>
    <w:p w14:paraId="588F07A8">
      <w:pPr>
        <w:pStyle w:val="19"/>
        <w:numPr>
          <w:ilvl w:val="0"/>
          <w:numId w:val="0"/>
        </w:numPr>
        <w:tabs>
          <w:tab w:val="left" w:pos="0"/>
          <w:tab w:val="left" w:pos="1985"/>
          <w:tab w:val="left" w:pos="2340"/>
        </w:tabs>
        <w:adjustRightInd w:val="0"/>
        <w:snapToGrid w:val="0"/>
        <w:spacing w:line="580" w:lineRule="exact"/>
        <w:ind w:left="0" w:firstLine="640" w:firstLineChars="200"/>
        <w:rPr>
          <w:rFonts w:hint="eastAsia" w:ascii="仿宋" w:hAnsi="仿宋" w:eastAsia="仿宋"/>
          <w:sz w:val="32"/>
          <w:szCs w:val="32"/>
          <w:highlight w:val="none"/>
          <w:lang w:val="en-GB"/>
        </w:rPr>
      </w:pPr>
      <w:r>
        <w:rPr>
          <w:rFonts w:hint="eastAsia" w:ascii="仿宋" w:hAnsi="仿宋" w:eastAsia="仿宋"/>
          <w:sz w:val="32"/>
          <w:szCs w:val="32"/>
          <w:highlight w:val="none"/>
          <w:lang w:val="en-GB"/>
        </w:rPr>
        <w:t>因结算一方资金或债券不足导致结算失败的，由责任方承担对其交易对手的违约责任，上海清算所不承担</w:t>
      </w:r>
      <w:r>
        <w:rPr>
          <w:rFonts w:hint="eastAsia" w:ascii="仿宋" w:hAnsi="仿宋" w:eastAsia="仿宋"/>
          <w:sz w:val="32"/>
          <w:szCs w:val="32"/>
          <w:highlight w:val="none"/>
          <w:lang w:val="en-GB" w:eastAsia="zh-CN"/>
        </w:rPr>
        <w:t>任何</w:t>
      </w:r>
      <w:r>
        <w:rPr>
          <w:rFonts w:hint="eastAsia" w:ascii="仿宋" w:hAnsi="仿宋" w:eastAsia="仿宋"/>
          <w:sz w:val="32"/>
          <w:szCs w:val="32"/>
          <w:highlight w:val="none"/>
          <w:lang w:val="en-GB"/>
        </w:rPr>
        <w:t>责任。</w:t>
      </w:r>
    </w:p>
    <w:p w14:paraId="44DD463F">
      <w:pPr>
        <w:pStyle w:val="19"/>
        <w:numPr>
          <w:ilvl w:val="0"/>
          <w:numId w:val="2"/>
        </w:numPr>
        <w:tabs>
          <w:tab w:val="left" w:pos="0"/>
          <w:tab w:val="left" w:pos="1985"/>
          <w:tab w:val="left" w:pos="2340"/>
        </w:tabs>
        <w:adjustRightInd w:val="0"/>
        <w:snapToGrid w:val="0"/>
        <w:spacing w:line="580" w:lineRule="exact"/>
        <w:ind w:left="0" w:firstLine="600"/>
        <w:rPr>
          <w:rFonts w:hint="eastAsia" w:ascii="仿宋" w:hAnsi="仿宋" w:eastAsia="仿宋" w:cs="Times New Roman"/>
          <w:sz w:val="32"/>
          <w:szCs w:val="32"/>
          <w:highlight w:val="none"/>
          <w:lang w:val="en-GB" w:eastAsia="zh-CN"/>
        </w:rPr>
      </w:pPr>
      <w:r>
        <w:rPr>
          <w:rFonts w:hint="eastAsia" w:ascii="仿宋" w:hAnsi="仿宋" w:eastAsia="仿宋"/>
          <w:sz w:val="32"/>
          <w:szCs w:val="32"/>
          <w:highlight w:val="none"/>
          <w:lang w:val="en-GB" w:eastAsia="zh-CN"/>
        </w:rPr>
        <w:t>上海清算所根据债券交易品种的不同，为债券交易提供存续期担保品管理、到期结算提前终止、现金交割、逾期返售、质押券违约处置等服务。</w:t>
      </w:r>
    </w:p>
    <w:p w14:paraId="29A48505">
      <w:pPr>
        <w:pStyle w:val="19"/>
        <w:numPr>
          <w:ilvl w:val="0"/>
          <w:numId w:val="2"/>
        </w:numPr>
        <w:tabs>
          <w:tab w:val="left" w:pos="0"/>
          <w:tab w:val="left" w:pos="1985"/>
          <w:tab w:val="left" w:pos="2340"/>
        </w:tabs>
        <w:adjustRightInd w:val="0"/>
        <w:snapToGrid w:val="0"/>
        <w:spacing w:line="580" w:lineRule="exact"/>
        <w:ind w:left="0" w:firstLine="600"/>
        <w:rPr>
          <w:rFonts w:hint="eastAsia" w:ascii="仿宋" w:hAnsi="仿宋" w:eastAsia="仿宋" w:cs="Times New Roman"/>
          <w:sz w:val="32"/>
          <w:szCs w:val="32"/>
          <w:highlight w:val="none"/>
          <w:lang w:val="en-GB" w:eastAsia="zh-CN"/>
        </w:rPr>
      </w:pPr>
      <w:r>
        <w:rPr>
          <w:rFonts w:hint="eastAsia" w:ascii="仿宋" w:hAnsi="仿宋" w:eastAsia="仿宋" w:cs="Times New Roman"/>
          <w:sz w:val="32"/>
          <w:szCs w:val="32"/>
          <w:highlight w:val="none"/>
          <w:lang w:val="en-GB"/>
        </w:rPr>
        <w:t>境内非法人</w:t>
      </w:r>
      <w:r>
        <w:rPr>
          <w:rFonts w:hint="eastAsia" w:ascii="仿宋" w:hAnsi="仿宋" w:eastAsia="仿宋" w:cs="Times New Roman"/>
          <w:sz w:val="32"/>
          <w:szCs w:val="32"/>
          <w:highlight w:val="none"/>
          <w:lang w:val="en-GB" w:eastAsia="zh-CN"/>
        </w:rPr>
        <w:t>机构</w:t>
      </w:r>
      <w:r>
        <w:rPr>
          <w:rFonts w:hint="eastAsia" w:ascii="仿宋" w:hAnsi="仿宋" w:eastAsia="仿宋" w:cs="Times New Roman"/>
          <w:sz w:val="32"/>
          <w:szCs w:val="32"/>
          <w:highlight w:val="none"/>
          <w:lang w:val="en-GB"/>
        </w:rPr>
        <w:t>投资者的结算业务由资产托管人代为办理，其资产管理人可进行结算业务查询。资产托管人应严格按照监管</w:t>
      </w:r>
      <w:r>
        <w:rPr>
          <w:rFonts w:hint="eastAsia" w:ascii="仿宋" w:hAnsi="仿宋" w:eastAsia="仿宋" w:cs="Times New Roman"/>
          <w:sz w:val="32"/>
          <w:szCs w:val="32"/>
          <w:highlight w:val="none"/>
          <w:lang w:val="en-GB" w:eastAsia="zh-CN"/>
        </w:rPr>
        <w:t>机构</w:t>
      </w:r>
      <w:r>
        <w:rPr>
          <w:rFonts w:hint="eastAsia" w:ascii="仿宋" w:hAnsi="仿宋" w:eastAsia="仿宋" w:cs="Times New Roman"/>
          <w:sz w:val="32"/>
          <w:szCs w:val="32"/>
          <w:highlight w:val="none"/>
          <w:lang w:val="en-GB"/>
        </w:rPr>
        <w:t>相关规定及投资者的指令为投资者办理结算业务。对于资产托管人代为办理的结算业务，上海清算所均视为有效。因资产托管人未严格执行投资者指令导致结算失败或给投资者造成损失的，由</w:t>
      </w:r>
      <w:r>
        <w:rPr>
          <w:rFonts w:hint="eastAsia" w:ascii="仿宋" w:hAnsi="仿宋" w:eastAsia="仿宋" w:cs="Times New Roman"/>
          <w:sz w:val="32"/>
          <w:szCs w:val="32"/>
          <w:highlight w:val="none"/>
          <w:lang w:val="en-GB" w:eastAsia="zh-CN"/>
        </w:rPr>
        <w:t>资产托管人向投资者</w:t>
      </w:r>
      <w:r>
        <w:rPr>
          <w:rFonts w:hint="eastAsia" w:ascii="仿宋" w:hAnsi="仿宋" w:eastAsia="仿宋" w:cs="Times New Roman"/>
          <w:sz w:val="32"/>
          <w:szCs w:val="32"/>
          <w:highlight w:val="none"/>
          <w:lang w:val="en-GB"/>
        </w:rPr>
        <w:t>承担相应责任。上海清算所不承担</w:t>
      </w:r>
      <w:r>
        <w:rPr>
          <w:rFonts w:hint="eastAsia" w:ascii="仿宋" w:hAnsi="仿宋" w:eastAsia="仿宋" w:cs="Times New Roman"/>
          <w:sz w:val="32"/>
          <w:szCs w:val="32"/>
          <w:highlight w:val="none"/>
          <w:lang w:val="en-GB" w:eastAsia="zh-CN"/>
        </w:rPr>
        <w:t>任何</w:t>
      </w:r>
      <w:r>
        <w:rPr>
          <w:rFonts w:hint="eastAsia" w:ascii="仿宋" w:hAnsi="仿宋" w:eastAsia="仿宋" w:cs="Times New Roman"/>
          <w:sz w:val="32"/>
          <w:szCs w:val="32"/>
          <w:highlight w:val="none"/>
          <w:lang w:val="en-GB"/>
        </w:rPr>
        <w:t>责任。</w:t>
      </w:r>
    </w:p>
    <w:p w14:paraId="1E1025B7">
      <w:pPr>
        <w:pStyle w:val="19"/>
        <w:numPr>
          <w:ilvl w:val="0"/>
          <w:numId w:val="2"/>
        </w:numPr>
        <w:tabs>
          <w:tab w:val="left" w:pos="0"/>
          <w:tab w:val="left" w:pos="1985"/>
          <w:tab w:val="left" w:pos="2340"/>
        </w:tabs>
        <w:adjustRightInd w:val="0"/>
        <w:snapToGrid w:val="0"/>
        <w:spacing w:line="580" w:lineRule="exact"/>
        <w:ind w:left="0" w:firstLine="600"/>
        <w:rPr>
          <w:rFonts w:hint="eastAsia" w:ascii="仿宋" w:hAnsi="仿宋" w:eastAsia="仿宋"/>
          <w:sz w:val="32"/>
          <w:szCs w:val="32"/>
          <w:highlight w:val="none"/>
          <w:lang w:val="en-GB"/>
        </w:rPr>
      </w:pPr>
      <w:r>
        <w:rPr>
          <w:rFonts w:hint="eastAsia" w:ascii="仿宋" w:hAnsi="仿宋" w:eastAsia="仿宋"/>
          <w:sz w:val="32"/>
          <w:szCs w:val="32"/>
          <w:highlight w:val="none"/>
          <w:lang w:val="en-GB" w:eastAsia="zh-CN"/>
        </w:rPr>
        <w:t>境外机构投资者应当通过监管机构认可的渠道办理结算业务。</w:t>
      </w:r>
    </w:p>
    <w:p w14:paraId="6CFBAAEF">
      <w:pPr>
        <w:pStyle w:val="19"/>
        <w:numPr>
          <w:ilvl w:val="0"/>
          <w:numId w:val="2"/>
        </w:numPr>
        <w:tabs>
          <w:tab w:val="left" w:pos="0"/>
          <w:tab w:val="left" w:pos="1985"/>
          <w:tab w:val="left" w:pos="2340"/>
        </w:tabs>
        <w:adjustRightInd w:val="0"/>
        <w:snapToGrid w:val="0"/>
        <w:spacing w:line="580" w:lineRule="exact"/>
        <w:ind w:left="0" w:firstLine="601"/>
        <w:rPr>
          <w:rFonts w:hint="eastAsia" w:ascii="仿宋" w:hAnsi="仿宋" w:eastAsia="仿宋"/>
          <w:sz w:val="32"/>
          <w:szCs w:val="32"/>
          <w:highlight w:val="none"/>
          <w:lang w:val="en-GB"/>
        </w:rPr>
      </w:pPr>
      <w:r>
        <w:rPr>
          <w:rFonts w:hint="eastAsia" w:ascii="仿宋" w:hAnsi="仿宋" w:eastAsia="仿宋" w:cs="Times New Roman"/>
          <w:sz w:val="32"/>
          <w:szCs w:val="32"/>
          <w:highlight w:val="none"/>
          <w:lang w:val="en-GB" w:eastAsia="zh-CN"/>
        </w:rPr>
        <w:t>交易流通受到限制的债券办理转让过户，应当符合</w:t>
      </w:r>
      <w:r>
        <w:rPr>
          <w:rFonts w:hint="eastAsia" w:ascii="仿宋" w:hAnsi="仿宋" w:eastAsia="仿宋"/>
          <w:sz w:val="32"/>
          <w:szCs w:val="32"/>
          <w:highlight w:val="none"/>
          <w:lang w:val="en-GB"/>
        </w:rPr>
        <w:t>法律法规、部门规章及管理部门</w:t>
      </w:r>
      <w:r>
        <w:rPr>
          <w:rFonts w:hint="eastAsia" w:ascii="仿宋" w:hAnsi="仿宋" w:eastAsia="仿宋"/>
          <w:sz w:val="32"/>
          <w:szCs w:val="32"/>
          <w:highlight w:val="none"/>
          <w:lang w:val="en-GB" w:eastAsia="zh-CN"/>
        </w:rPr>
        <w:t>的</w:t>
      </w:r>
      <w:r>
        <w:rPr>
          <w:rFonts w:hint="eastAsia" w:ascii="仿宋" w:hAnsi="仿宋" w:eastAsia="仿宋"/>
          <w:sz w:val="32"/>
          <w:szCs w:val="32"/>
          <w:highlight w:val="none"/>
          <w:lang w:val="en-GB"/>
        </w:rPr>
        <w:t>规定</w:t>
      </w:r>
      <w:r>
        <w:rPr>
          <w:rFonts w:hint="eastAsia" w:ascii="仿宋" w:hAnsi="仿宋" w:eastAsia="仿宋" w:cs="Times New Roman"/>
          <w:sz w:val="32"/>
          <w:szCs w:val="32"/>
          <w:highlight w:val="none"/>
          <w:lang w:val="en-GB" w:eastAsia="zh-CN"/>
        </w:rPr>
        <w:t>。</w:t>
      </w:r>
    </w:p>
    <w:p w14:paraId="0503BE3D">
      <w:pPr>
        <w:pStyle w:val="19"/>
        <w:numPr>
          <w:ilvl w:val="0"/>
          <w:numId w:val="2"/>
        </w:numPr>
        <w:tabs>
          <w:tab w:val="left" w:pos="0"/>
          <w:tab w:val="left" w:pos="1985"/>
          <w:tab w:val="left" w:pos="2340"/>
        </w:tabs>
        <w:adjustRightInd w:val="0"/>
        <w:snapToGrid w:val="0"/>
        <w:spacing w:line="580" w:lineRule="exact"/>
        <w:ind w:left="0" w:firstLine="600"/>
        <w:rPr>
          <w:rFonts w:hint="eastAsia" w:ascii="仿宋" w:hAnsi="仿宋" w:eastAsia="仿宋"/>
          <w:sz w:val="32"/>
          <w:szCs w:val="32"/>
          <w:highlight w:val="none"/>
          <w:lang w:val="en-GB"/>
        </w:rPr>
      </w:pPr>
      <w:r>
        <w:rPr>
          <w:rFonts w:hint="eastAsia" w:ascii="仿宋" w:hAnsi="仿宋" w:eastAsia="仿宋"/>
          <w:sz w:val="32"/>
          <w:szCs w:val="32"/>
          <w:highlight w:val="none"/>
          <w:lang w:val="en-GB"/>
        </w:rPr>
        <w:t>上海清算所建立并运营登记托管结算业务系统，并建立健全应急处理机制。当业务系统因故暂时中断业务处理时，上海清算所将启动应急处理预案，结算成员应予以配合。</w:t>
      </w:r>
    </w:p>
    <w:p w14:paraId="1A6A8B2D">
      <w:pPr>
        <w:pStyle w:val="18"/>
        <w:keepNext w:val="0"/>
        <w:keepLines w:val="0"/>
        <w:pageBreakBefore w:val="0"/>
        <w:widowControl w:val="0"/>
        <w:numPr>
          <w:ilvl w:val="0"/>
          <w:numId w:val="1"/>
        </w:numPr>
        <w:kinsoku/>
        <w:wordWrap/>
        <w:overflowPunct/>
        <w:topLinePunct w:val="0"/>
        <w:bidi w:val="0"/>
        <w:adjustRightInd w:val="0"/>
        <w:snapToGrid w:val="0"/>
        <w:spacing w:before="0" w:after="0" w:line="580" w:lineRule="exact"/>
        <w:ind w:left="0" w:firstLine="0"/>
        <w:textAlignment w:val="auto"/>
        <w:rPr>
          <w:rFonts w:hint="eastAsia" w:ascii="黑体" w:hAnsi="黑体" w:eastAsia="黑体" w:cs="黑体"/>
          <w:b w:val="0"/>
          <w:bCs w:val="0"/>
          <w:sz w:val="32"/>
          <w:szCs w:val="32"/>
          <w:highlight w:val="none"/>
          <w:lang w:eastAsia="zh-CN"/>
        </w:rPr>
      </w:pPr>
      <w:r>
        <w:rPr>
          <w:rFonts w:hint="eastAsia" w:ascii="黑体" w:hAnsi="黑体" w:eastAsia="黑体" w:cs="黑体"/>
          <w:b w:val="0"/>
          <w:bCs w:val="0"/>
          <w:sz w:val="32"/>
          <w:szCs w:val="32"/>
          <w:highlight w:val="none"/>
          <w:lang w:eastAsia="zh-CN"/>
        </w:rPr>
        <w:t>附则</w:t>
      </w:r>
    </w:p>
    <w:p w14:paraId="492283AE">
      <w:pPr>
        <w:pStyle w:val="19"/>
        <w:numPr>
          <w:ilvl w:val="0"/>
          <w:numId w:val="2"/>
        </w:numPr>
        <w:tabs>
          <w:tab w:val="left" w:pos="0"/>
          <w:tab w:val="left" w:pos="1985"/>
          <w:tab w:val="left" w:pos="2340"/>
        </w:tabs>
        <w:adjustRightInd w:val="0"/>
        <w:snapToGrid w:val="0"/>
        <w:spacing w:line="580" w:lineRule="exact"/>
        <w:ind w:left="0" w:firstLine="600"/>
        <w:rPr>
          <w:rFonts w:hint="eastAsia" w:ascii="仿宋" w:hAnsi="仿宋" w:eastAsia="仿宋"/>
          <w:sz w:val="32"/>
          <w:szCs w:val="32"/>
          <w:highlight w:val="none"/>
          <w:lang w:val="en-GB"/>
        </w:rPr>
      </w:pPr>
      <w:r>
        <w:rPr>
          <w:rFonts w:hint="eastAsia" w:ascii="仿宋" w:hAnsi="仿宋" w:eastAsia="仿宋" w:cs="Times New Roman"/>
          <w:sz w:val="32"/>
          <w:szCs w:val="32"/>
          <w:highlight w:val="none"/>
          <w:lang w:val="en-GB"/>
        </w:rPr>
        <w:t>因不可抗力、意外事件、重大技术故障、重大人为差错等突发性事件而影响</w:t>
      </w:r>
      <w:r>
        <w:rPr>
          <w:rFonts w:hint="eastAsia" w:ascii="仿宋" w:hAnsi="仿宋" w:eastAsia="仿宋"/>
          <w:sz w:val="32"/>
          <w:szCs w:val="32"/>
          <w:highlight w:val="none"/>
          <w:lang w:val="en-GB"/>
        </w:rPr>
        <w:t>债券登记托管、清算结算业务</w:t>
      </w:r>
      <w:r>
        <w:rPr>
          <w:rFonts w:hint="eastAsia" w:ascii="仿宋" w:hAnsi="仿宋" w:eastAsia="仿宋" w:cs="Times New Roman"/>
          <w:sz w:val="32"/>
          <w:szCs w:val="32"/>
          <w:highlight w:val="none"/>
          <w:lang w:val="en-GB"/>
        </w:rPr>
        <w:t>正常进行时，为维护</w:t>
      </w:r>
      <w:r>
        <w:rPr>
          <w:rFonts w:hint="eastAsia" w:ascii="仿宋" w:hAnsi="仿宋" w:eastAsia="仿宋" w:cs="Times New Roman"/>
          <w:sz w:val="32"/>
          <w:szCs w:val="32"/>
          <w:highlight w:val="none"/>
          <w:lang w:val="en-GB" w:eastAsia="zh-CN"/>
        </w:rPr>
        <w:t>债券市场秩序和</w:t>
      </w:r>
      <w:r>
        <w:rPr>
          <w:rFonts w:hint="eastAsia" w:ascii="仿宋" w:hAnsi="仿宋" w:eastAsia="仿宋" w:cs="Times New Roman"/>
          <w:sz w:val="32"/>
          <w:szCs w:val="32"/>
          <w:highlight w:val="none"/>
          <w:lang w:val="en-GB"/>
        </w:rPr>
        <w:t>金融市场安全，上海清算所可以采取处置措施，并应当及时向中国人民银行报告</w:t>
      </w:r>
      <w:r>
        <w:rPr>
          <w:rFonts w:hint="eastAsia" w:ascii="仿宋" w:hAnsi="仿宋" w:eastAsia="仿宋" w:cs="Times New Roman"/>
          <w:sz w:val="32"/>
          <w:szCs w:val="32"/>
          <w:highlight w:val="none"/>
          <w:lang w:val="en-GB" w:eastAsia="zh-CN"/>
        </w:rPr>
        <w:t>。</w:t>
      </w:r>
    </w:p>
    <w:p w14:paraId="5D0C670C">
      <w:pPr>
        <w:snapToGrid w:val="0"/>
        <w:spacing w:line="580" w:lineRule="exact"/>
        <w:ind w:firstLine="640" w:firstLineChars="200"/>
        <w:rPr>
          <w:rFonts w:ascii="仿宋" w:hAnsi="仿宋" w:eastAsia="仿宋" w:cs="仿宋"/>
          <w:sz w:val="32"/>
          <w:szCs w:val="32"/>
          <w:highlight w:val="none"/>
          <w:lang w:bidi="ar"/>
        </w:rPr>
      </w:pPr>
      <w:r>
        <w:rPr>
          <w:rFonts w:hint="eastAsia" w:ascii="仿宋" w:hAnsi="仿宋" w:eastAsia="仿宋" w:cs="仿宋"/>
          <w:sz w:val="32"/>
          <w:szCs w:val="32"/>
          <w:highlight w:val="none"/>
          <w:lang w:bidi="ar"/>
        </w:rPr>
        <w:t>因突发性事件导致债券登记托管、清算结算结果出现重大异常，按</w:t>
      </w:r>
      <w:r>
        <w:rPr>
          <w:rFonts w:hint="eastAsia" w:ascii="仿宋" w:hAnsi="仿宋" w:eastAsia="仿宋" w:cs="仿宋"/>
          <w:sz w:val="32"/>
          <w:szCs w:val="32"/>
          <w:highlight w:val="none"/>
          <w:lang w:eastAsia="zh-CN" w:bidi="ar"/>
        </w:rPr>
        <w:t>该</w:t>
      </w:r>
      <w:r>
        <w:rPr>
          <w:rFonts w:hint="eastAsia" w:ascii="仿宋" w:hAnsi="仿宋" w:eastAsia="仿宋" w:cs="仿宋"/>
          <w:sz w:val="32"/>
          <w:szCs w:val="32"/>
          <w:highlight w:val="none"/>
          <w:lang w:bidi="ar"/>
        </w:rPr>
        <w:t>结果</w:t>
      </w:r>
      <w:r>
        <w:rPr>
          <w:rFonts w:hint="eastAsia" w:ascii="仿宋" w:hAnsi="仿宋" w:eastAsia="仿宋" w:cs="仿宋"/>
          <w:sz w:val="32"/>
          <w:szCs w:val="32"/>
          <w:highlight w:val="none"/>
          <w:lang w:eastAsia="zh-CN" w:bidi="ar"/>
        </w:rPr>
        <w:t>办理相关业务</w:t>
      </w:r>
      <w:r>
        <w:rPr>
          <w:rFonts w:hint="eastAsia" w:ascii="仿宋" w:hAnsi="仿宋" w:eastAsia="仿宋" w:cs="仿宋"/>
          <w:sz w:val="32"/>
          <w:szCs w:val="32"/>
          <w:highlight w:val="none"/>
          <w:lang w:bidi="ar"/>
        </w:rPr>
        <w:t>将对</w:t>
      </w:r>
      <w:r>
        <w:rPr>
          <w:rFonts w:hint="eastAsia" w:ascii="仿宋" w:hAnsi="仿宋" w:eastAsia="仿宋" w:cs="仿宋"/>
          <w:sz w:val="32"/>
          <w:szCs w:val="32"/>
          <w:highlight w:val="none"/>
          <w:lang w:eastAsia="zh-CN" w:bidi="ar"/>
        </w:rPr>
        <w:t>债券市场</w:t>
      </w:r>
      <w:r>
        <w:rPr>
          <w:rFonts w:hint="eastAsia" w:ascii="仿宋" w:hAnsi="仿宋" w:eastAsia="仿宋" w:cs="仿宋"/>
          <w:sz w:val="32"/>
          <w:szCs w:val="32"/>
          <w:highlight w:val="none"/>
          <w:lang w:bidi="ar"/>
        </w:rPr>
        <w:t>正常秩序和市场公平造成重大影响的，上海清算所可以采取处置措施，并应当及时向中国人民银行报告并公告。</w:t>
      </w:r>
    </w:p>
    <w:p w14:paraId="3D334E46">
      <w:pPr>
        <w:snapToGrid w:val="0"/>
        <w:spacing w:line="580" w:lineRule="exact"/>
        <w:ind w:firstLine="640" w:firstLineChars="200"/>
        <w:rPr>
          <w:rFonts w:ascii="仿宋" w:hAnsi="仿宋" w:eastAsia="仿宋" w:cs="仿宋"/>
          <w:sz w:val="32"/>
          <w:szCs w:val="32"/>
          <w:highlight w:val="none"/>
          <w:lang w:bidi="ar"/>
        </w:rPr>
      </w:pPr>
      <w:r>
        <w:rPr>
          <w:rFonts w:hint="eastAsia" w:ascii="仿宋" w:hAnsi="仿宋" w:eastAsia="仿宋" w:cs="仿宋"/>
          <w:sz w:val="32"/>
          <w:szCs w:val="32"/>
          <w:highlight w:val="none"/>
          <w:lang w:bidi="ar"/>
        </w:rPr>
        <w:t>上海清算所对其依照本条规定采取措施造成的损失，不承担民事赔偿责任，但存在重大过错的除外。</w:t>
      </w:r>
    </w:p>
    <w:p w14:paraId="1CC32A77">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ascii="仿宋" w:hAnsi="仿宋" w:eastAsia="仿宋"/>
          <w:sz w:val="32"/>
          <w:szCs w:val="32"/>
          <w:highlight w:val="none"/>
          <w:lang w:val="en-GB"/>
        </w:rPr>
      </w:pPr>
      <w:r>
        <w:rPr>
          <w:rFonts w:hint="eastAsia" w:ascii="仿宋" w:hAnsi="仿宋" w:eastAsia="仿宋"/>
          <w:sz w:val="32"/>
          <w:szCs w:val="32"/>
          <w:highlight w:val="none"/>
          <w:lang w:val="en-GB" w:eastAsia="zh-CN"/>
        </w:rPr>
        <w:t>上海清算所依据监管机构规定对</w:t>
      </w:r>
      <w:r>
        <w:rPr>
          <w:rFonts w:hint="eastAsia" w:ascii="仿宋" w:hAnsi="仿宋" w:eastAsia="仿宋"/>
          <w:sz w:val="32"/>
          <w:szCs w:val="32"/>
          <w:highlight w:val="none"/>
          <w:lang w:val="en-GB"/>
        </w:rPr>
        <w:t>负责中央登记、存管</w:t>
      </w:r>
      <w:r>
        <w:rPr>
          <w:rFonts w:hint="eastAsia" w:ascii="仿宋" w:hAnsi="仿宋" w:eastAsia="仿宋"/>
          <w:sz w:val="32"/>
          <w:szCs w:val="32"/>
          <w:highlight w:val="none"/>
          <w:lang w:val="en-GB" w:eastAsia="zh-CN"/>
        </w:rPr>
        <w:t>的</w:t>
      </w:r>
      <w:r>
        <w:rPr>
          <w:rFonts w:hint="eastAsia" w:ascii="仿宋" w:hAnsi="仿宋" w:eastAsia="仿宋"/>
          <w:sz w:val="32"/>
          <w:szCs w:val="32"/>
          <w:highlight w:val="none"/>
          <w:lang w:val="en-GB"/>
        </w:rPr>
        <w:t>各类债券的登记托管、清算结算</w:t>
      </w:r>
      <w:r>
        <w:rPr>
          <w:rFonts w:hint="eastAsia" w:ascii="仿宋" w:hAnsi="仿宋" w:eastAsia="仿宋"/>
          <w:sz w:val="32"/>
          <w:szCs w:val="32"/>
          <w:highlight w:val="none"/>
          <w:lang w:val="en-GB" w:eastAsia="zh-CN"/>
        </w:rPr>
        <w:t>情况进行日常监测，市场参与者应予以配合。</w:t>
      </w:r>
    </w:p>
    <w:p w14:paraId="74C6F20B">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ascii="仿宋" w:hAnsi="仿宋" w:eastAsia="仿宋"/>
          <w:sz w:val="32"/>
          <w:szCs w:val="32"/>
          <w:highlight w:val="none"/>
          <w:lang w:val="en-GB"/>
        </w:rPr>
      </w:pPr>
      <w:r>
        <w:rPr>
          <w:rFonts w:hint="eastAsia" w:ascii="仿宋" w:hAnsi="仿宋" w:eastAsia="仿宋"/>
          <w:sz w:val="32"/>
          <w:szCs w:val="32"/>
          <w:highlight w:val="none"/>
          <w:lang w:val="en-GB"/>
        </w:rPr>
        <w:t>债券登记托管</w:t>
      </w:r>
      <w:r>
        <w:rPr>
          <w:rFonts w:hint="eastAsia" w:ascii="仿宋" w:hAnsi="仿宋" w:eastAsia="仿宋"/>
          <w:sz w:val="32"/>
          <w:szCs w:val="32"/>
          <w:highlight w:val="none"/>
          <w:lang w:val="en-GB" w:eastAsia="zh-CN"/>
        </w:rPr>
        <w:t>、清算</w:t>
      </w:r>
      <w:r>
        <w:rPr>
          <w:rFonts w:hint="eastAsia" w:ascii="仿宋" w:hAnsi="仿宋" w:eastAsia="仿宋"/>
          <w:sz w:val="32"/>
          <w:szCs w:val="32"/>
          <w:highlight w:val="none"/>
          <w:lang w:val="en-GB"/>
        </w:rPr>
        <w:t>结算业务的收费标准、收费方式等按照上海清算所收费办法及相关业务</w:t>
      </w:r>
      <w:r>
        <w:rPr>
          <w:rFonts w:hint="eastAsia" w:ascii="仿宋" w:hAnsi="仿宋" w:eastAsia="仿宋"/>
          <w:sz w:val="32"/>
          <w:szCs w:val="32"/>
          <w:highlight w:val="none"/>
          <w:lang w:val="en-GB" w:eastAsia="zh-CN"/>
        </w:rPr>
        <w:t>规定</w:t>
      </w:r>
      <w:r>
        <w:rPr>
          <w:rFonts w:hint="eastAsia" w:ascii="仿宋" w:hAnsi="仿宋" w:eastAsia="仿宋"/>
          <w:sz w:val="32"/>
          <w:szCs w:val="32"/>
          <w:highlight w:val="none"/>
          <w:lang w:val="en-GB"/>
        </w:rPr>
        <w:t>执行。</w:t>
      </w:r>
    </w:p>
    <w:p w14:paraId="71753E5C">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ascii="仿宋" w:hAnsi="仿宋" w:eastAsia="仿宋"/>
          <w:sz w:val="32"/>
          <w:szCs w:val="32"/>
          <w:highlight w:val="none"/>
          <w:lang w:val="en-GB"/>
        </w:rPr>
      </w:pPr>
      <w:r>
        <w:rPr>
          <w:rFonts w:hint="eastAsia" w:ascii="仿宋" w:hAnsi="仿宋" w:eastAsia="仿宋"/>
          <w:sz w:val="32"/>
          <w:szCs w:val="32"/>
          <w:highlight w:val="none"/>
          <w:lang w:val="en-US" w:eastAsia="zh-CN"/>
        </w:rPr>
        <w:t>对外开放、银行间与交易所债券市场互联互通业务等相关业务制度另有规定的，从其规定。</w:t>
      </w:r>
    </w:p>
    <w:p w14:paraId="4BA39666">
      <w:pPr>
        <w:pStyle w:val="19"/>
        <w:pageBreakBefore w:val="0"/>
        <w:widowControl w:val="0"/>
        <w:numPr>
          <w:ilvl w:val="0"/>
          <w:numId w:val="0"/>
        </w:numPr>
        <w:tabs>
          <w:tab w:val="left" w:pos="1985"/>
        </w:tabs>
        <w:kinsoku/>
        <w:wordWrap/>
        <w:overflowPunct/>
        <w:topLinePunct w:val="0"/>
        <w:bidi w:val="0"/>
        <w:adjustRightInd w:val="0"/>
        <w:snapToGrid w:val="0"/>
        <w:spacing w:line="580" w:lineRule="exact"/>
        <w:ind w:left="0" w:firstLine="640" w:firstLineChars="200"/>
        <w:textAlignment w:val="auto"/>
        <w:rPr>
          <w:rFonts w:hint="eastAsia" w:ascii="仿宋" w:hAnsi="仿宋" w:eastAsia="仿宋" w:cs="宋体"/>
          <w:kern w:val="0"/>
          <w:sz w:val="32"/>
          <w:szCs w:val="32"/>
          <w:highlight w:val="none"/>
          <w:lang w:val="en-GB"/>
        </w:rPr>
      </w:pPr>
      <w:r>
        <w:rPr>
          <w:rFonts w:hint="eastAsia" w:ascii="仿宋" w:hAnsi="仿宋" w:eastAsia="仿宋" w:cs="宋体"/>
          <w:kern w:val="0"/>
          <w:sz w:val="32"/>
          <w:szCs w:val="32"/>
          <w:highlight w:val="none"/>
          <w:lang w:val="en-GB"/>
        </w:rPr>
        <w:t>本规则未尽事宜按照上海清算所有关业务细则、指南</w:t>
      </w:r>
      <w:r>
        <w:rPr>
          <w:rFonts w:hint="eastAsia" w:ascii="仿宋" w:hAnsi="仿宋" w:eastAsia="仿宋" w:cs="宋体"/>
          <w:kern w:val="0"/>
          <w:sz w:val="32"/>
          <w:szCs w:val="32"/>
          <w:highlight w:val="none"/>
          <w:lang w:val="en-GB" w:eastAsia="zh-CN"/>
        </w:rPr>
        <w:t>等制度</w:t>
      </w:r>
      <w:r>
        <w:rPr>
          <w:rFonts w:hint="eastAsia" w:ascii="仿宋" w:hAnsi="仿宋" w:eastAsia="仿宋" w:cs="宋体"/>
          <w:kern w:val="0"/>
          <w:sz w:val="32"/>
          <w:szCs w:val="32"/>
          <w:highlight w:val="none"/>
          <w:lang w:val="en-GB"/>
        </w:rPr>
        <w:t>的相关规定办理。</w:t>
      </w:r>
    </w:p>
    <w:p w14:paraId="35A86C4F">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ascii="仿宋" w:hAnsi="仿宋" w:eastAsia="仿宋"/>
          <w:sz w:val="30"/>
          <w:szCs w:val="30"/>
          <w:highlight w:val="none"/>
        </w:rPr>
      </w:pPr>
      <w:r>
        <w:rPr>
          <w:rFonts w:hint="eastAsia" w:ascii="仿宋" w:hAnsi="仿宋" w:eastAsia="仿宋"/>
          <w:sz w:val="32"/>
          <w:szCs w:val="32"/>
          <w:highlight w:val="none"/>
          <w:lang w:val="en-GB"/>
        </w:rPr>
        <w:t>本规则由上海清算所负责解释，并自公布之日起实行。</w:t>
      </w:r>
    </w:p>
    <w:p w14:paraId="7611CA0C">
      <w:pPr>
        <w:pStyle w:val="19"/>
        <w:pageBreakBefore w:val="0"/>
        <w:widowControl w:val="0"/>
        <w:tabs>
          <w:tab w:val="left" w:pos="2340"/>
        </w:tabs>
        <w:kinsoku/>
        <w:wordWrap/>
        <w:overflowPunct/>
        <w:topLinePunct w:val="0"/>
        <w:bidi w:val="0"/>
        <w:adjustRightInd w:val="0"/>
        <w:snapToGrid w:val="0"/>
        <w:spacing w:line="580" w:lineRule="exact"/>
        <w:textAlignment w:val="auto"/>
        <w:rPr>
          <w:rFonts w:hint="eastAsia" w:ascii="仿宋" w:hAnsi="仿宋" w:eastAsia="仿宋"/>
          <w:sz w:val="30"/>
          <w:szCs w:val="30"/>
          <w:highlight w:val="none"/>
        </w:rPr>
      </w:pPr>
    </w:p>
    <w:sectPr>
      <w:headerReference r:id="rId3" w:type="default"/>
      <w:footerReference r:id="rId4" w:type="default"/>
      <w:footerReference r:id="rId5" w:type="even"/>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0000000000000000000"/>
    <w:charset w:val="00"/>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03D9AC">
    <w:pPr>
      <w:pStyle w:val="5"/>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D23833B">
                          <w:pPr>
                            <w:pStyle w:val="5"/>
                            <w:wordWrap w:val="0"/>
                            <w:jc w:val="right"/>
                            <w:rPr>
                              <w:rFonts w:hint="eastAsia" w:ascii="宋体" w:hAnsi="宋体" w:eastAsia="宋体" w:cs="宋体"/>
                              <w:sz w:val="28"/>
                              <w:szCs w:val="28"/>
                              <w:lang w:val="en-US" w:eastAsia="zh-CN"/>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4D23833B">
                    <w:pPr>
                      <w:pStyle w:val="5"/>
                      <w:wordWrap w:val="0"/>
                      <w:jc w:val="right"/>
                      <w:rPr>
                        <w:rFonts w:hint="eastAsia" w:ascii="宋体" w:hAnsi="宋体" w:eastAsia="宋体" w:cs="宋体"/>
                        <w:sz w:val="28"/>
                        <w:szCs w:val="28"/>
                        <w:lang w:val="en-US" w:eastAsia="zh-CN"/>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p>
                </w:txbxContent>
              </v:textbox>
            </v:shape>
          </w:pict>
        </mc:Fallback>
      </mc:AlternateContent>
    </w:r>
  </w:p>
  <w:p w14:paraId="22380DC7">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A59DCE">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9F703CA">
                          <w:pPr>
                            <w:pStyle w:val="5"/>
                            <w:ind w:firstLine="280" w:firstLineChars="10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LMb65DdAQAAvgMAAA4AAAAAAAAA&#10;AQAgAAAAHgEAAGRycy9lMm9Eb2MueG1sUEsFBgAAAAAGAAYAWQEAAG0FAAAAAA==&#10;">
              <v:fill on="f" focussize="0,0"/>
              <v:stroke on="f"/>
              <v:imagedata o:title=""/>
              <o:lock v:ext="edit" aspectratio="f"/>
              <v:textbox inset="0mm,0mm,0mm,0mm" style="mso-fit-shape-to-text:t;">
                <w:txbxContent>
                  <w:p w14:paraId="39F703CA">
                    <w:pPr>
                      <w:pStyle w:val="5"/>
                      <w:ind w:firstLine="280" w:firstLineChars="10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D5CB9E">
    <w:pPr>
      <w:jc w:val="center"/>
      <w:rPr>
        <w:rFonts w:hint="eastAsia" w:ascii="宋体" w:hAnsi="宋体"/>
        <w:b/>
        <w:bCs/>
        <w:color w:val="FF0000"/>
        <w:spacing w:val="20"/>
        <w:sz w:val="44"/>
        <w:szCs w:val="4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D6FFA3"/>
    <w:multiLevelType w:val="singleLevel"/>
    <w:tmpl w:val="C7D6FFA3"/>
    <w:lvl w:ilvl="0" w:tentative="0">
      <w:start w:val="1"/>
      <w:numFmt w:val="chineseCounting"/>
      <w:suff w:val="space"/>
      <w:lvlText w:val="第%1节"/>
      <w:lvlJc w:val="left"/>
      <w:rPr>
        <w:rFonts w:hint="eastAsia"/>
      </w:rPr>
    </w:lvl>
  </w:abstractNum>
  <w:abstractNum w:abstractNumId="1">
    <w:nsid w:val="2FA1761F"/>
    <w:multiLevelType w:val="multilevel"/>
    <w:tmpl w:val="2FA1761F"/>
    <w:lvl w:ilvl="0" w:tentative="0">
      <w:start w:val="1"/>
      <w:numFmt w:val="japaneseCounting"/>
      <w:lvlText w:val="第%1节"/>
      <w:lvlJc w:val="left"/>
      <w:pPr>
        <w:ind w:left="1080" w:hanging="108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1105D5E"/>
    <w:multiLevelType w:val="multilevel"/>
    <w:tmpl w:val="31105D5E"/>
    <w:lvl w:ilvl="0" w:tentative="0">
      <w:start w:val="1"/>
      <w:numFmt w:val="japaneseCounting"/>
      <w:lvlText w:val="第%1章"/>
      <w:lvlJc w:val="left"/>
      <w:pPr>
        <w:ind w:left="1275" w:hanging="1275"/>
      </w:pPr>
      <w:rPr>
        <w:rFonts w:hint="default"/>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5FE107AB"/>
    <w:multiLevelType w:val="multilevel"/>
    <w:tmpl w:val="5FE107AB"/>
    <w:lvl w:ilvl="0" w:tentative="0">
      <w:start w:val="1"/>
      <w:numFmt w:val="japaneseCounting"/>
      <w:lvlText w:val="第%1条"/>
      <w:lvlJc w:val="left"/>
      <w:pPr>
        <w:ind w:left="1931" w:hanging="1080"/>
      </w:pPr>
      <w:rPr>
        <w:rFonts w:hint="default"/>
        <w:b/>
        <w:lang w:val="en-GB"/>
      </w:r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bordersDoNotSurroundHeader w:val="1"/>
  <w:bordersDoNotSurroundFooter w:val="1"/>
  <w:documentProtection w:enforcement="0"/>
  <w:defaultTabStop w:val="420"/>
  <w:hyphenationZone w:val="36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13C8"/>
    <w:rsid w:val="00037291"/>
    <w:rsid w:val="000519BA"/>
    <w:rsid w:val="000525A7"/>
    <w:rsid w:val="0005678D"/>
    <w:rsid w:val="000704F8"/>
    <w:rsid w:val="000C2AA2"/>
    <w:rsid w:val="000C4048"/>
    <w:rsid w:val="00110111"/>
    <w:rsid w:val="0013626D"/>
    <w:rsid w:val="001443BD"/>
    <w:rsid w:val="00144B64"/>
    <w:rsid w:val="00147603"/>
    <w:rsid w:val="00182C1C"/>
    <w:rsid w:val="001A4435"/>
    <w:rsid w:val="001B2073"/>
    <w:rsid w:val="001B3A5B"/>
    <w:rsid w:val="001C410C"/>
    <w:rsid w:val="001D4C10"/>
    <w:rsid w:val="002017DD"/>
    <w:rsid w:val="00223C1D"/>
    <w:rsid w:val="0022446D"/>
    <w:rsid w:val="00246352"/>
    <w:rsid w:val="00254AA6"/>
    <w:rsid w:val="0026242A"/>
    <w:rsid w:val="00267B64"/>
    <w:rsid w:val="00280680"/>
    <w:rsid w:val="002857D1"/>
    <w:rsid w:val="00296D15"/>
    <w:rsid w:val="002B33A9"/>
    <w:rsid w:val="002C1F4C"/>
    <w:rsid w:val="002C6896"/>
    <w:rsid w:val="002D0ADB"/>
    <w:rsid w:val="002E15EE"/>
    <w:rsid w:val="002F0F6A"/>
    <w:rsid w:val="00301637"/>
    <w:rsid w:val="00345C8D"/>
    <w:rsid w:val="00347624"/>
    <w:rsid w:val="003518A0"/>
    <w:rsid w:val="0038271F"/>
    <w:rsid w:val="003A05D5"/>
    <w:rsid w:val="00425EA8"/>
    <w:rsid w:val="0042777C"/>
    <w:rsid w:val="00446E4A"/>
    <w:rsid w:val="0044765E"/>
    <w:rsid w:val="0045005D"/>
    <w:rsid w:val="00460BF9"/>
    <w:rsid w:val="00473705"/>
    <w:rsid w:val="004943D4"/>
    <w:rsid w:val="004A1372"/>
    <w:rsid w:val="004C2225"/>
    <w:rsid w:val="004E02AA"/>
    <w:rsid w:val="00534765"/>
    <w:rsid w:val="005447FE"/>
    <w:rsid w:val="00557114"/>
    <w:rsid w:val="005A6B15"/>
    <w:rsid w:val="005E65A4"/>
    <w:rsid w:val="00614D19"/>
    <w:rsid w:val="00623765"/>
    <w:rsid w:val="00662503"/>
    <w:rsid w:val="00692564"/>
    <w:rsid w:val="006978D2"/>
    <w:rsid w:val="006A2ADB"/>
    <w:rsid w:val="006B604E"/>
    <w:rsid w:val="006C5F6E"/>
    <w:rsid w:val="006F22B0"/>
    <w:rsid w:val="007024F0"/>
    <w:rsid w:val="007144B4"/>
    <w:rsid w:val="007633A9"/>
    <w:rsid w:val="007E600B"/>
    <w:rsid w:val="00817D7A"/>
    <w:rsid w:val="00830D88"/>
    <w:rsid w:val="00873EE9"/>
    <w:rsid w:val="008E5515"/>
    <w:rsid w:val="008F46D8"/>
    <w:rsid w:val="00911D3C"/>
    <w:rsid w:val="00917A28"/>
    <w:rsid w:val="00954103"/>
    <w:rsid w:val="009618FD"/>
    <w:rsid w:val="00963872"/>
    <w:rsid w:val="00970A2A"/>
    <w:rsid w:val="009966FA"/>
    <w:rsid w:val="009C0679"/>
    <w:rsid w:val="009C507D"/>
    <w:rsid w:val="009D0E1B"/>
    <w:rsid w:val="009D1716"/>
    <w:rsid w:val="00A022C1"/>
    <w:rsid w:val="00A0379C"/>
    <w:rsid w:val="00A5455A"/>
    <w:rsid w:val="00A55F00"/>
    <w:rsid w:val="00A76B93"/>
    <w:rsid w:val="00AB55E0"/>
    <w:rsid w:val="00AF685E"/>
    <w:rsid w:val="00B270D7"/>
    <w:rsid w:val="00B329E2"/>
    <w:rsid w:val="00B32AB8"/>
    <w:rsid w:val="00BF6154"/>
    <w:rsid w:val="00C05F18"/>
    <w:rsid w:val="00C37C60"/>
    <w:rsid w:val="00C612AD"/>
    <w:rsid w:val="00C74FD8"/>
    <w:rsid w:val="00CA51EE"/>
    <w:rsid w:val="00CA5479"/>
    <w:rsid w:val="00CB2D84"/>
    <w:rsid w:val="00CC37B2"/>
    <w:rsid w:val="00CC4D1C"/>
    <w:rsid w:val="00CD13C8"/>
    <w:rsid w:val="00CD5393"/>
    <w:rsid w:val="00CE4472"/>
    <w:rsid w:val="00CE5500"/>
    <w:rsid w:val="00D102E7"/>
    <w:rsid w:val="00D21C98"/>
    <w:rsid w:val="00D815C1"/>
    <w:rsid w:val="00DC2C89"/>
    <w:rsid w:val="00DC5AE3"/>
    <w:rsid w:val="00DD771B"/>
    <w:rsid w:val="00E22EC5"/>
    <w:rsid w:val="00E25487"/>
    <w:rsid w:val="00E25F3A"/>
    <w:rsid w:val="00E55D65"/>
    <w:rsid w:val="00E82A15"/>
    <w:rsid w:val="00E87C7F"/>
    <w:rsid w:val="00E900E2"/>
    <w:rsid w:val="00EB0E1F"/>
    <w:rsid w:val="00EB6857"/>
    <w:rsid w:val="00ED07F9"/>
    <w:rsid w:val="00ED5F6E"/>
    <w:rsid w:val="00ED6546"/>
    <w:rsid w:val="00EF45B5"/>
    <w:rsid w:val="00F123F9"/>
    <w:rsid w:val="00F17139"/>
    <w:rsid w:val="00F32633"/>
    <w:rsid w:val="00F40FA9"/>
    <w:rsid w:val="00F42FD6"/>
    <w:rsid w:val="00F51666"/>
    <w:rsid w:val="00F61076"/>
    <w:rsid w:val="00F72D29"/>
    <w:rsid w:val="00F75261"/>
    <w:rsid w:val="00FC16AD"/>
    <w:rsid w:val="0DDFA8DB"/>
    <w:rsid w:val="0FFF0A95"/>
    <w:rsid w:val="19EE688D"/>
    <w:rsid w:val="1DE7C5AA"/>
    <w:rsid w:val="1F9BEBE2"/>
    <w:rsid w:val="1FBEE89A"/>
    <w:rsid w:val="1FFF5561"/>
    <w:rsid w:val="2BBFB963"/>
    <w:rsid w:val="2FFA256B"/>
    <w:rsid w:val="2FFE1CBD"/>
    <w:rsid w:val="32797316"/>
    <w:rsid w:val="32FBA22B"/>
    <w:rsid w:val="33BEC967"/>
    <w:rsid w:val="35EF3BD0"/>
    <w:rsid w:val="37BB1EA4"/>
    <w:rsid w:val="3B7EE25B"/>
    <w:rsid w:val="3BBBCBF5"/>
    <w:rsid w:val="3BBDCA41"/>
    <w:rsid w:val="3BD92744"/>
    <w:rsid w:val="3BFC30E9"/>
    <w:rsid w:val="3DA6BAB7"/>
    <w:rsid w:val="3F3B63F4"/>
    <w:rsid w:val="3F66038D"/>
    <w:rsid w:val="3F7A69B9"/>
    <w:rsid w:val="3F9F6998"/>
    <w:rsid w:val="3FD38762"/>
    <w:rsid w:val="3FF7A6FE"/>
    <w:rsid w:val="3FF7C357"/>
    <w:rsid w:val="3FFDF320"/>
    <w:rsid w:val="42DE6C65"/>
    <w:rsid w:val="4BEF5B3B"/>
    <w:rsid w:val="4D77E24C"/>
    <w:rsid w:val="4F6F2B74"/>
    <w:rsid w:val="4FDFCBB9"/>
    <w:rsid w:val="4FE7CE3F"/>
    <w:rsid w:val="54FD2727"/>
    <w:rsid w:val="54FD3CF9"/>
    <w:rsid w:val="56D5647E"/>
    <w:rsid w:val="57AD3792"/>
    <w:rsid w:val="597D3D01"/>
    <w:rsid w:val="5BB51D56"/>
    <w:rsid w:val="5BEF6815"/>
    <w:rsid w:val="5C3FA0EF"/>
    <w:rsid w:val="5DAFC128"/>
    <w:rsid w:val="5E7D4CB2"/>
    <w:rsid w:val="5EBAB5B0"/>
    <w:rsid w:val="5F5734B6"/>
    <w:rsid w:val="5F77E294"/>
    <w:rsid w:val="5FBD01D4"/>
    <w:rsid w:val="5FCE48FC"/>
    <w:rsid w:val="5FDF7025"/>
    <w:rsid w:val="5FFBCC33"/>
    <w:rsid w:val="632F0AF0"/>
    <w:rsid w:val="66FB8BCA"/>
    <w:rsid w:val="676B1A37"/>
    <w:rsid w:val="69ADF03B"/>
    <w:rsid w:val="6B676B37"/>
    <w:rsid w:val="6BA781B7"/>
    <w:rsid w:val="6BF0E1EE"/>
    <w:rsid w:val="6C5C5C2D"/>
    <w:rsid w:val="6C6F80BE"/>
    <w:rsid w:val="6DBF1F6C"/>
    <w:rsid w:val="6DF1EA48"/>
    <w:rsid w:val="6DF349E6"/>
    <w:rsid w:val="6E6FC1B4"/>
    <w:rsid w:val="6EFD5571"/>
    <w:rsid w:val="6F6F8151"/>
    <w:rsid w:val="6FBFC2CE"/>
    <w:rsid w:val="6FDBB2A9"/>
    <w:rsid w:val="6FE8FA75"/>
    <w:rsid w:val="6FF7EBEA"/>
    <w:rsid w:val="6FFF0E57"/>
    <w:rsid w:val="71FA9FC6"/>
    <w:rsid w:val="7334AF89"/>
    <w:rsid w:val="736A97A5"/>
    <w:rsid w:val="73DF5D7E"/>
    <w:rsid w:val="73FF103D"/>
    <w:rsid w:val="75FEBB8A"/>
    <w:rsid w:val="765C1264"/>
    <w:rsid w:val="76FD154E"/>
    <w:rsid w:val="775736B5"/>
    <w:rsid w:val="777A84C5"/>
    <w:rsid w:val="77AF30C8"/>
    <w:rsid w:val="77AFBE55"/>
    <w:rsid w:val="77C7325C"/>
    <w:rsid w:val="77DA9663"/>
    <w:rsid w:val="795FB5B8"/>
    <w:rsid w:val="79777765"/>
    <w:rsid w:val="797F6AEC"/>
    <w:rsid w:val="79EF8F36"/>
    <w:rsid w:val="7B9DB065"/>
    <w:rsid w:val="7BBD2C61"/>
    <w:rsid w:val="7BCFDB7A"/>
    <w:rsid w:val="7BEF3694"/>
    <w:rsid w:val="7BF30DD3"/>
    <w:rsid w:val="7BF8D9D0"/>
    <w:rsid w:val="7BFB97CB"/>
    <w:rsid w:val="7BFF4CCC"/>
    <w:rsid w:val="7D3D0C28"/>
    <w:rsid w:val="7D7EC7DD"/>
    <w:rsid w:val="7D9E055F"/>
    <w:rsid w:val="7DF7F9F5"/>
    <w:rsid w:val="7E3F9E04"/>
    <w:rsid w:val="7E6EAF23"/>
    <w:rsid w:val="7E6EF38B"/>
    <w:rsid w:val="7EADADBA"/>
    <w:rsid w:val="7EADD8A1"/>
    <w:rsid w:val="7EB7E293"/>
    <w:rsid w:val="7EDEECD9"/>
    <w:rsid w:val="7EE77AED"/>
    <w:rsid w:val="7EFDF9EF"/>
    <w:rsid w:val="7F1134A7"/>
    <w:rsid w:val="7F1F91B6"/>
    <w:rsid w:val="7F3FA38F"/>
    <w:rsid w:val="7F63D742"/>
    <w:rsid w:val="7F6AEAE6"/>
    <w:rsid w:val="7F6E09BC"/>
    <w:rsid w:val="7F79A197"/>
    <w:rsid w:val="7F7F1057"/>
    <w:rsid w:val="7F7F50BB"/>
    <w:rsid w:val="7FBA0034"/>
    <w:rsid w:val="7FDD8225"/>
    <w:rsid w:val="7FDDAF56"/>
    <w:rsid w:val="7FDF91E8"/>
    <w:rsid w:val="7FEBFA8F"/>
    <w:rsid w:val="7FEF745A"/>
    <w:rsid w:val="7FEFFC53"/>
    <w:rsid w:val="7FF37CBD"/>
    <w:rsid w:val="7FF5EA27"/>
    <w:rsid w:val="7FF73ECF"/>
    <w:rsid w:val="7FFB7232"/>
    <w:rsid w:val="7FFB93A8"/>
    <w:rsid w:val="7FFDE7FF"/>
    <w:rsid w:val="7FFDE920"/>
    <w:rsid w:val="7FFE40AA"/>
    <w:rsid w:val="7FFE4346"/>
    <w:rsid w:val="7FFED32D"/>
    <w:rsid w:val="7FFF037A"/>
    <w:rsid w:val="7FFF0AF7"/>
    <w:rsid w:val="7FFFB29C"/>
    <w:rsid w:val="87D187F0"/>
    <w:rsid w:val="8BAFD884"/>
    <w:rsid w:val="8F6AE9F3"/>
    <w:rsid w:val="8FFB7C4C"/>
    <w:rsid w:val="8FFFE4D7"/>
    <w:rsid w:val="936D56DE"/>
    <w:rsid w:val="93CD3E3B"/>
    <w:rsid w:val="9AFC0E14"/>
    <w:rsid w:val="9B9F6643"/>
    <w:rsid w:val="9DFFFF74"/>
    <w:rsid w:val="9FBC5F05"/>
    <w:rsid w:val="9FFBBDF4"/>
    <w:rsid w:val="9FFE9963"/>
    <w:rsid w:val="9FFFBE55"/>
    <w:rsid w:val="A0BFAC24"/>
    <w:rsid w:val="A0FD7764"/>
    <w:rsid w:val="A7F9B6A5"/>
    <w:rsid w:val="A8F608CD"/>
    <w:rsid w:val="A8FE12B8"/>
    <w:rsid w:val="ABFFA9CD"/>
    <w:rsid w:val="AE7F9AA5"/>
    <w:rsid w:val="AF7FD056"/>
    <w:rsid w:val="AFCFEC3A"/>
    <w:rsid w:val="B2DF02AC"/>
    <w:rsid w:val="B3FF9976"/>
    <w:rsid w:val="B57F3774"/>
    <w:rsid w:val="B5D60B81"/>
    <w:rsid w:val="B7BFFFD9"/>
    <w:rsid w:val="B7F9CC91"/>
    <w:rsid w:val="B7FE8589"/>
    <w:rsid w:val="B9A69DD3"/>
    <w:rsid w:val="BB7D6ACE"/>
    <w:rsid w:val="BBFFE05A"/>
    <w:rsid w:val="BDFDC8EF"/>
    <w:rsid w:val="BDFF1C8E"/>
    <w:rsid w:val="BDFF86EF"/>
    <w:rsid w:val="BE966C16"/>
    <w:rsid w:val="BE9EA30C"/>
    <w:rsid w:val="BEEA38A3"/>
    <w:rsid w:val="BF3F6E02"/>
    <w:rsid w:val="BF7B5AD7"/>
    <w:rsid w:val="BFADF113"/>
    <w:rsid w:val="BFBA1F23"/>
    <w:rsid w:val="BFED28E5"/>
    <w:rsid w:val="BFFFE765"/>
    <w:rsid w:val="C7F50942"/>
    <w:rsid w:val="CD9E77F8"/>
    <w:rsid w:val="CD9FB599"/>
    <w:rsid w:val="CDFE7C52"/>
    <w:rsid w:val="CFEFD599"/>
    <w:rsid w:val="CFFF3983"/>
    <w:rsid w:val="D1FF1378"/>
    <w:rsid w:val="D49F1FE9"/>
    <w:rsid w:val="D5D3DCE3"/>
    <w:rsid w:val="D769E1A2"/>
    <w:rsid w:val="D797FE98"/>
    <w:rsid w:val="D7BF1068"/>
    <w:rsid w:val="D7DE28A9"/>
    <w:rsid w:val="D7FB3E77"/>
    <w:rsid w:val="D7FE4AA0"/>
    <w:rsid w:val="D7FF0550"/>
    <w:rsid w:val="D9DF656B"/>
    <w:rsid w:val="D9F973F1"/>
    <w:rsid w:val="DAFB596E"/>
    <w:rsid w:val="DB4F095A"/>
    <w:rsid w:val="DBF69453"/>
    <w:rsid w:val="DEC7DEA7"/>
    <w:rsid w:val="DECEC01E"/>
    <w:rsid w:val="DEDBF0D6"/>
    <w:rsid w:val="DF4D1898"/>
    <w:rsid w:val="DF58C950"/>
    <w:rsid w:val="DFDBF1DB"/>
    <w:rsid w:val="DFFD2376"/>
    <w:rsid w:val="E3176CC5"/>
    <w:rsid w:val="E6741AD5"/>
    <w:rsid w:val="E6EF81EF"/>
    <w:rsid w:val="E6F36E08"/>
    <w:rsid w:val="E7BC3AA8"/>
    <w:rsid w:val="E7D452DD"/>
    <w:rsid w:val="E7DCAB50"/>
    <w:rsid w:val="E7FC869C"/>
    <w:rsid w:val="ED9FEBA3"/>
    <w:rsid w:val="EDBEB2B7"/>
    <w:rsid w:val="EDBFB295"/>
    <w:rsid w:val="EDFD908A"/>
    <w:rsid w:val="EE5F9282"/>
    <w:rsid w:val="EEEC3514"/>
    <w:rsid w:val="EEFB00CD"/>
    <w:rsid w:val="EF37615D"/>
    <w:rsid w:val="EF3F766D"/>
    <w:rsid w:val="EF77510B"/>
    <w:rsid w:val="EFBF44E0"/>
    <w:rsid w:val="EFBF9176"/>
    <w:rsid w:val="EFD6F8AB"/>
    <w:rsid w:val="EFDFD871"/>
    <w:rsid w:val="EFEE79E4"/>
    <w:rsid w:val="EFF7BD9C"/>
    <w:rsid w:val="EFFF512A"/>
    <w:rsid w:val="F2FF9F5E"/>
    <w:rsid w:val="F3B1CCCA"/>
    <w:rsid w:val="F51EE83E"/>
    <w:rsid w:val="F556052D"/>
    <w:rsid w:val="F5CDF5A3"/>
    <w:rsid w:val="F5CEE814"/>
    <w:rsid w:val="F71F8D27"/>
    <w:rsid w:val="F73BAA8B"/>
    <w:rsid w:val="F75BE916"/>
    <w:rsid w:val="F7BF6297"/>
    <w:rsid w:val="F7CEA2F3"/>
    <w:rsid w:val="F7CFC82E"/>
    <w:rsid w:val="F7DEEB8D"/>
    <w:rsid w:val="F7DF5B1B"/>
    <w:rsid w:val="F7ED8032"/>
    <w:rsid w:val="F7EEEBEE"/>
    <w:rsid w:val="F7FEAD00"/>
    <w:rsid w:val="F7FEE60F"/>
    <w:rsid w:val="FAC70D3C"/>
    <w:rsid w:val="FB4B6B0B"/>
    <w:rsid w:val="FB7540A8"/>
    <w:rsid w:val="FB7E4A3C"/>
    <w:rsid w:val="FB7F0837"/>
    <w:rsid w:val="FB7FD623"/>
    <w:rsid w:val="FB9FB40E"/>
    <w:rsid w:val="FBD7E0EE"/>
    <w:rsid w:val="FBF51CB3"/>
    <w:rsid w:val="FBFF882B"/>
    <w:rsid w:val="FC5EDA42"/>
    <w:rsid w:val="FCBFDCC7"/>
    <w:rsid w:val="FCDA63EB"/>
    <w:rsid w:val="FCDEE598"/>
    <w:rsid w:val="FCF17DD9"/>
    <w:rsid w:val="FCF2B640"/>
    <w:rsid w:val="FCFFA85E"/>
    <w:rsid w:val="FD37D297"/>
    <w:rsid w:val="FD5376BB"/>
    <w:rsid w:val="FD6E29D8"/>
    <w:rsid w:val="FD7A06CB"/>
    <w:rsid w:val="FDB7F702"/>
    <w:rsid w:val="FDE3F113"/>
    <w:rsid w:val="FDED36B1"/>
    <w:rsid w:val="FDF7DB7C"/>
    <w:rsid w:val="FDFE6651"/>
    <w:rsid w:val="FDFF1A87"/>
    <w:rsid w:val="FE6D0C6C"/>
    <w:rsid w:val="FEB768AB"/>
    <w:rsid w:val="FEE56707"/>
    <w:rsid w:val="FF5F6236"/>
    <w:rsid w:val="FF7D0C47"/>
    <w:rsid w:val="FF943183"/>
    <w:rsid w:val="FF9B3E04"/>
    <w:rsid w:val="FF9E3A09"/>
    <w:rsid w:val="FFB77E7F"/>
    <w:rsid w:val="FFB7A0EB"/>
    <w:rsid w:val="FFC34C88"/>
    <w:rsid w:val="FFC6D201"/>
    <w:rsid w:val="FFC939DE"/>
    <w:rsid w:val="FFDF0FB4"/>
    <w:rsid w:val="FFDF5033"/>
    <w:rsid w:val="FFEE5973"/>
    <w:rsid w:val="FFEF66A4"/>
    <w:rsid w:val="FFF55652"/>
    <w:rsid w:val="FFFFF54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2"/>
    <w:qFormat/>
    <w:uiPriority w:val="9"/>
    <w:pPr>
      <w:keepNext/>
      <w:keepLines/>
      <w:spacing w:before="340" w:after="330" w:line="578" w:lineRule="auto"/>
      <w:outlineLvl w:val="0"/>
    </w:pPr>
    <w:rPr>
      <w:b/>
      <w:bCs/>
      <w:kern w:val="44"/>
      <w:sz w:val="44"/>
      <w:szCs w:val="44"/>
    </w:rPr>
  </w:style>
  <w:style w:type="character" w:default="1" w:styleId="9">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3">
    <w:name w:val="annotation text"/>
    <w:basedOn w:val="1"/>
    <w:link w:val="13"/>
    <w:unhideWhenUsed/>
    <w:qFormat/>
    <w:uiPriority w:val="99"/>
    <w:pPr>
      <w:jc w:val="left"/>
    </w:pPr>
  </w:style>
  <w:style w:type="paragraph" w:styleId="4">
    <w:name w:val="Balloon Text"/>
    <w:basedOn w:val="1"/>
    <w:link w:val="14"/>
    <w:unhideWhenUsed/>
    <w:qFormat/>
    <w:uiPriority w:val="99"/>
    <w:rPr>
      <w:sz w:val="18"/>
      <w:szCs w:val="18"/>
    </w:rPr>
  </w:style>
  <w:style w:type="paragraph" w:styleId="5">
    <w:name w:val="footer"/>
    <w:basedOn w:val="1"/>
    <w:link w:val="15"/>
    <w:qFormat/>
    <w:uiPriority w:val="99"/>
    <w:pPr>
      <w:tabs>
        <w:tab w:val="center" w:pos="4153"/>
        <w:tab w:val="right" w:pos="8306"/>
      </w:tabs>
      <w:snapToGrid w:val="0"/>
      <w:jc w:val="left"/>
    </w:pPr>
    <w:rPr>
      <w:sz w:val="18"/>
      <w:szCs w:val="18"/>
    </w:rPr>
  </w:style>
  <w:style w:type="paragraph" w:styleId="6">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17"/>
    <w:unhideWhenUsed/>
    <w:qFormat/>
    <w:uiPriority w:val="99"/>
    <w:rPr>
      <w:b/>
      <w:bCs/>
    </w:rPr>
  </w:style>
  <w:style w:type="character" w:styleId="10">
    <w:name w:val="page number"/>
    <w:basedOn w:val="9"/>
    <w:qFormat/>
    <w:uiPriority w:val="0"/>
  </w:style>
  <w:style w:type="character" w:styleId="11">
    <w:name w:val="annotation reference"/>
    <w:unhideWhenUsed/>
    <w:qFormat/>
    <w:uiPriority w:val="99"/>
    <w:rPr>
      <w:sz w:val="21"/>
      <w:szCs w:val="21"/>
    </w:rPr>
  </w:style>
  <w:style w:type="character" w:customStyle="1" w:styleId="12">
    <w:name w:val="标题 1 Char"/>
    <w:link w:val="2"/>
    <w:qFormat/>
    <w:uiPriority w:val="9"/>
    <w:rPr>
      <w:rFonts w:ascii="Times New Roman" w:hAnsi="Times New Roman"/>
      <w:b/>
      <w:bCs/>
      <w:kern w:val="44"/>
      <w:sz w:val="44"/>
      <w:szCs w:val="44"/>
    </w:rPr>
  </w:style>
  <w:style w:type="character" w:customStyle="1" w:styleId="13">
    <w:name w:val="批注文字 Char"/>
    <w:link w:val="3"/>
    <w:semiHidden/>
    <w:qFormat/>
    <w:uiPriority w:val="99"/>
    <w:rPr>
      <w:rFonts w:ascii="Times New Roman" w:hAnsi="Times New Roman"/>
      <w:kern w:val="2"/>
      <w:sz w:val="21"/>
      <w:szCs w:val="24"/>
    </w:rPr>
  </w:style>
  <w:style w:type="character" w:customStyle="1" w:styleId="14">
    <w:name w:val="批注框文本 Char"/>
    <w:link w:val="4"/>
    <w:semiHidden/>
    <w:qFormat/>
    <w:uiPriority w:val="99"/>
    <w:rPr>
      <w:rFonts w:ascii="Times New Roman" w:hAnsi="Times New Roman"/>
      <w:kern w:val="2"/>
      <w:sz w:val="18"/>
      <w:szCs w:val="18"/>
    </w:rPr>
  </w:style>
  <w:style w:type="character" w:customStyle="1" w:styleId="15">
    <w:name w:val="页脚 Char"/>
    <w:link w:val="5"/>
    <w:qFormat/>
    <w:uiPriority w:val="99"/>
    <w:rPr>
      <w:rFonts w:ascii="Times New Roman" w:hAnsi="Times New Roman" w:eastAsia="宋体" w:cs="Times New Roman"/>
      <w:sz w:val="18"/>
      <w:szCs w:val="18"/>
    </w:rPr>
  </w:style>
  <w:style w:type="character" w:customStyle="1" w:styleId="16">
    <w:name w:val="页眉 Char"/>
    <w:link w:val="6"/>
    <w:qFormat/>
    <w:uiPriority w:val="99"/>
    <w:rPr>
      <w:rFonts w:ascii="Times New Roman" w:hAnsi="Times New Roman"/>
      <w:kern w:val="2"/>
      <w:sz w:val="18"/>
      <w:szCs w:val="18"/>
    </w:rPr>
  </w:style>
  <w:style w:type="character" w:customStyle="1" w:styleId="17">
    <w:name w:val="批注主题 Char"/>
    <w:link w:val="7"/>
    <w:semiHidden/>
    <w:qFormat/>
    <w:uiPriority w:val="99"/>
    <w:rPr>
      <w:rFonts w:ascii="Times New Roman" w:hAnsi="Times New Roman"/>
      <w:b/>
      <w:bCs/>
      <w:kern w:val="2"/>
      <w:sz w:val="21"/>
      <w:szCs w:val="24"/>
    </w:rPr>
  </w:style>
  <w:style w:type="paragraph" w:customStyle="1" w:styleId="18">
    <w:name w:val="样式 标题 1 + 黑体"/>
    <w:basedOn w:val="2"/>
    <w:qFormat/>
    <w:uiPriority w:val="0"/>
    <w:pPr>
      <w:jc w:val="center"/>
    </w:pPr>
    <w:rPr>
      <w:rFonts w:ascii="黑体" w:hAnsi="黑体" w:eastAsia="黑体"/>
      <w:sz w:val="32"/>
    </w:rPr>
  </w:style>
  <w:style w:type="paragraph" w:customStyle="1" w:styleId="19">
    <w:name w:val="样式19"/>
    <w:basedOn w:val="1"/>
    <w:qFormat/>
    <w:uiPriority w:val="0"/>
    <w:pPr>
      <w:spacing w:line="360" w:lineRule="auto"/>
    </w:pPr>
    <w:rPr>
      <w:rFonts w:ascii="仿宋_GB2312" w:hAnsi="宋体" w:eastAsia="仿宋_GB2312"/>
      <w:sz w:val="28"/>
      <w:szCs w:val="28"/>
    </w:rPr>
  </w:style>
  <w:style w:type="paragraph" w:customStyle="1" w:styleId="20">
    <w:name w:val="_Style 19"/>
    <w:semiHidden/>
    <w:qFormat/>
    <w:uiPriority w:val="99"/>
    <w:rPr>
      <w:rFonts w:ascii="Times New Roman" w:hAnsi="Times New Roman" w:eastAsia="宋体" w:cs="Times New Roman"/>
      <w:kern w:val="2"/>
      <w:sz w:val="21"/>
      <w:szCs w:val="24"/>
      <w:lang w:val="en-US" w:eastAsia="zh-CN" w:bidi="ar-SA"/>
    </w:rPr>
  </w:style>
  <w:style w:type="paragraph" w:styleId="21">
    <w:name w:val="List Paragraph"/>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weaver</Company>
  <Pages>14</Pages>
  <Words>1483</Words>
  <Characters>8455</Characters>
  <Lines>70</Lines>
  <Paragraphs>19</Paragraphs>
  <TotalTime>1293</TotalTime>
  <ScaleCrop>false</ScaleCrop>
  <LinksUpToDate>false</LinksUpToDate>
  <CharactersWithSpaces>9919</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2014-10-20T06:14:00Z</dcterms:created>
  <dc:creator>系统管理员</dc:creator>
  <cp:lastModifiedBy>shch</cp:lastModifiedBy>
  <cp:lastPrinted>2026-10-28T01:25:00Z</cp:lastPrinted>
  <dcterms:modified xsi:type="dcterms:W3CDTF">2026-10-28T13:57:07Z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BB5E0228828F8BD1CBFED96A9C61FC1C_43</vt:lpwstr>
  </property>
</Properties>
</file>